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D90" w14:textId="5F1C9031" w:rsidR="00F763E9" w:rsidRPr="00243077" w:rsidRDefault="00F628F0" w:rsidP="006517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RELACION</w:t>
      </w:r>
    </w:p>
    <w:p w14:paraId="016506B9" w14:textId="77777777" w:rsidR="006517E0" w:rsidRDefault="006517E0" w:rsidP="0065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5B0BE72" w14:textId="6A7E1127" w:rsidR="00243077" w:rsidRPr="00243077" w:rsidRDefault="00FE0468" w:rsidP="00651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</w:t>
      </w:r>
      <w:r w:rsidR="007F1966">
        <w:rPr>
          <w:rFonts w:ascii="Times New Roman" w:eastAsia="Times New Roman" w:hAnsi="Times New Roman" w:cs="Times New Roman"/>
          <w:b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 </w:t>
      </w:r>
      <w:r w:rsidR="00F628F0" w:rsidRPr="00243077">
        <w:rPr>
          <w:rFonts w:ascii="Times New Roman" w:eastAsia="Times New Roman" w:hAnsi="Times New Roman" w:cs="Times New Roman"/>
          <w:b/>
          <w:kern w:val="0"/>
          <w14:ligatures w14:val="none"/>
        </w:rPr>
        <w:t>PROJEKTLIGJIN “PËR FINANCIMIN E PARTIVE POLITIKE”</w:t>
      </w:r>
    </w:p>
    <w:p w14:paraId="42E76640" w14:textId="77777777" w:rsidR="006517E0" w:rsidRDefault="006517E0" w:rsidP="00651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FA1002" w14:textId="77777777" w:rsidR="006517E0" w:rsidRDefault="006517E0" w:rsidP="00651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53DDCF" w14:textId="424A8C6D" w:rsidR="00F763E9" w:rsidRPr="00243077" w:rsidRDefault="00F763E9" w:rsidP="00651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I. </w:t>
      </w:r>
      <w:r w:rsidR="00FE04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7F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="00994A33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QËLLIMI I PROJEKTAKTIT DHE OBJEKTIVAT QË SYNOHEN TË ARRIHEN</w:t>
      </w:r>
    </w:p>
    <w:p w14:paraId="73F07324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B3C2D2" w14:textId="1A901452" w:rsidR="00FE0468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” ka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qëllim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baze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re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gjithëpërfshirës</w:t>
      </w:r>
      <w:r w:rsidR="00FE0468"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administrimin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realizojn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Republikën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Shqipërisë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gjat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viti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kalendarik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jasht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fushat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0B4FC3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Kodit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Zgjedhor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</w:t>
      </w:r>
      <w:r w:rsidR="00FE0468">
        <w:rPr>
          <w:rFonts w:ascii="Times New Roman" w:eastAsia="Times New Roman" w:hAnsi="Times New Roman" w:cs="Times New Roman"/>
          <w:kern w:val="0"/>
          <w14:ligatures w14:val="none"/>
        </w:rPr>
        <w:t>ligji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arkitektur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modern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funksional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rregullimit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FE0468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r w:rsidR="00FE0468"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adresuar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plot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boshllëqet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dobësitë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sfidat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karakterizuar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kuadrin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C7985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C6462F">
        <w:rPr>
          <w:rFonts w:ascii="Times New Roman" w:eastAsia="Times New Roman" w:hAnsi="Times New Roman" w:cs="Times New Roman"/>
          <w:kern w:val="0"/>
          <w14:ligatures w14:val="none"/>
        </w:rPr>
        <w:t>tual</w:t>
      </w:r>
      <w:proofErr w:type="spellEnd"/>
      <w:r w:rsidR="00C64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64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zbatimin</w:t>
      </w:r>
      <w:proofErr w:type="spellEnd"/>
      <w:r w:rsidR="00C6462F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="00C64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646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62F">
        <w:rPr>
          <w:rFonts w:ascii="Times New Roman" w:eastAsia="Times New Roman" w:hAnsi="Times New Roman" w:cs="Times New Roman"/>
          <w:kern w:val="0"/>
          <w14:ligatures w14:val="none"/>
        </w:rPr>
        <w:t>praktik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F15980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98B2AB" w14:textId="0A4035EE" w:rsidR="0032760E" w:rsidRPr="00FE0468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realitet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përfaqëson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element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thelbësor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integritetit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proceseve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demokratike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qarta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qëndrueshme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harmonizuara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praktikat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7985">
        <w:rPr>
          <w:rFonts w:ascii="Times New Roman" w:eastAsia="Times New Roman" w:hAnsi="Times New Roman" w:cs="Times New Roman"/>
          <w:kern w:val="0"/>
          <w14:ligatures w14:val="none"/>
        </w:rPr>
        <w:t>mira</w:t>
      </w:r>
      <w:proofErr w:type="spellEnd"/>
      <w:r w:rsidR="003C79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forcuar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barazisë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llogaridhënies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arrijë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objektiva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madhorë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cilët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ndërtojnë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themelet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qëndrueshëm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besueshëm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gjer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shoq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rie</w:t>
      </w:r>
      <w:proofErr w:type="spellEnd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demokratike</w:t>
      </w:r>
      <w:proofErr w:type="spellEnd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konsolidim</w:t>
      </w:r>
      <w:proofErr w:type="spellEnd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sip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FE0468" w:rsidRPr="00FE04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F4B0C" w14:textId="77777777" w:rsidR="006517E0" w:rsidRDefault="006517E0" w:rsidP="006517E0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2AE93EE9" w14:textId="2A6EA715" w:rsidR="00FE0468" w:rsidRPr="00FE0468" w:rsidRDefault="00FE0468" w:rsidP="006517E0">
      <w:pPr>
        <w:pStyle w:val="p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0468">
        <w:rPr>
          <w:rFonts w:ascii="Times New Roman" w:hAnsi="Times New Roman"/>
          <w:sz w:val="24"/>
          <w:szCs w:val="24"/>
        </w:rPr>
        <w:t>Sipas</w:t>
      </w:r>
      <w:proofErr w:type="spellEnd"/>
      <w:r w:rsidRPr="00FE046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Raportit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rin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rmir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nd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partive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politike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nevoje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miratohet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Shqip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ri.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jt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linj</w:t>
      </w:r>
      <w:r w:rsidR="003D2531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Screening </w:t>
      </w:r>
      <w:r w:rsidR="00C646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eport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</w:t>
      </w:r>
      <w:r w:rsidR="007F196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rin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7F1966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vitin</w:t>
      </w:r>
      <w:proofErr w:type="spellEnd"/>
      <w:r>
        <w:rPr>
          <w:rFonts w:ascii="Times New Roman" w:hAnsi="Times New Roman"/>
          <w:sz w:val="24"/>
          <w:szCs w:val="24"/>
        </w:rPr>
        <w:t xml:space="preserve"> 2023 ka </w:t>
      </w:r>
      <w:proofErr w:type="spellStart"/>
      <w:r>
        <w:rPr>
          <w:rFonts w:ascii="Times New Roman" w:hAnsi="Times New Roman"/>
          <w:sz w:val="24"/>
          <w:szCs w:val="24"/>
        </w:rPr>
        <w:t>theksuar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F1966">
        <w:rPr>
          <w:rFonts w:ascii="Times New Roman" w:hAnsi="Times New Roman"/>
          <w:sz w:val="24"/>
          <w:szCs w:val="24"/>
        </w:rPr>
        <w:t>nevojitet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miratimi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i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një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baz</w:t>
      </w:r>
      <w:r w:rsidR="00C6462F">
        <w:rPr>
          <w:rFonts w:ascii="Times New Roman" w:hAnsi="Times New Roman"/>
          <w:sz w:val="24"/>
          <w:szCs w:val="24"/>
        </w:rPr>
        <w:t>e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të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përmirësuar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ligjore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për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financimin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1966">
        <w:rPr>
          <w:rFonts w:ascii="Times New Roman" w:hAnsi="Times New Roman"/>
          <w:sz w:val="24"/>
          <w:szCs w:val="24"/>
        </w:rPr>
        <w:t>partive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politike</w:t>
      </w:r>
      <w:proofErr w:type="spellEnd"/>
      <w:r w:rsidR="00C6462F">
        <w:rPr>
          <w:rFonts w:ascii="Times New Roman" w:hAnsi="Times New Roman"/>
          <w:sz w:val="24"/>
          <w:szCs w:val="24"/>
        </w:rPr>
        <w:t>,</w:t>
      </w:r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së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bashku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7F1966">
        <w:rPr>
          <w:rFonts w:ascii="Times New Roman" w:hAnsi="Times New Roman"/>
          <w:sz w:val="24"/>
          <w:szCs w:val="24"/>
        </w:rPr>
        <w:t>konsolidimin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1966">
        <w:rPr>
          <w:rFonts w:ascii="Times New Roman" w:hAnsi="Times New Roman"/>
          <w:sz w:val="24"/>
          <w:szCs w:val="24"/>
        </w:rPr>
        <w:t>zbatimit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në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pra</w:t>
      </w:r>
      <w:r w:rsidR="006517E0">
        <w:rPr>
          <w:rFonts w:ascii="Times New Roman" w:hAnsi="Times New Roman"/>
          <w:sz w:val="24"/>
          <w:szCs w:val="24"/>
        </w:rPr>
        <w:t>k</w:t>
      </w:r>
      <w:r w:rsidR="007F1966">
        <w:rPr>
          <w:rFonts w:ascii="Times New Roman" w:hAnsi="Times New Roman"/>
          <w:sz w:val="24"/>
          <w:szCs w:val="24"/>
        </w:rPr>
        <w:t>tikë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të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detyrimeve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1966">
        <w:rPr>
          <w:rFonts w:ascii="Times New Roman" w:hAnsi="Times New Roman"/>
          <w:sz w:val="24"/>
          <w:szCs w:val="24"/>
        </w:rPr>
        <w:t>ligjore</w:t>
      </w:r>
      <w:proofErr w:type="spellEnd"/>
      <w:r w:rsidR="007F1966">
        <w:rPr>
          <w:rFonts w:ascii="Times New Roman" w:hAnsi="Times New Roman"/>
          <w:sz w:val="24"/>
          <w:szCs w:val="24"/>
        </w:rPr>
        <w:t xml:space="preserve">. </w:t>
      </w:r>
    </w:p>
    <w:p w14:paraId="4BA1BBC5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9A60D" w14:textId="02106FE8" w:rsidR="00FE0468" w:rsidRPr="00243077" w:rsidRDefault="007F1966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qëllime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zbatim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këtyre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detyrimeve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veçanërisht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rrugën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anëtarësimit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Shqipërisë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Bashkimin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Europian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paraqitet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shqyrtim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miratim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4495611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90B0CBB" w14:textId="30203EFE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r w:rsidR="007F196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Rritje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transparencës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publike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aksesit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informacionin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</w:t>
      </w:r>
      <w:proofErr w:type="spellEnd"/>
    </w:p>
    <w:p w14:paraId="72079FB6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662CEB" w14:textId="696AC0FB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dhënave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parlamentare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04CD">
        <w:rPr>
          <w:rFonts w:ascii="Times New Roman" w:eastAsia="Times New Roman" w:hAnsi="Times New Roman" w:cs="Times New Roman"/>
          <w:kern w:val="0"/>
          <w14:ligatures w14:val="none"/>
        </w:rPr>
        <w:t>vet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F04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F04CD">
        <w:rPr>
          <w:rFonts w:ascii="Times New Roman" w:eastAsia="Times New Roman" w:hAnsi="Times New Roman" w:cs="Times New Roman"/>
          <w:kern w:val="0"/>
          <w14:ligatures w14:val="none"/>
        </w:rPr>
        <w:t>fundviti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donacionet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informacionet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zbatim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drejtp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rdrejt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detyrimit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kushtetues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partis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platformës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elektronike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dedikuar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kalon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formal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instrument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aktiv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monitorimi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gjurmueshmëri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akses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menjëhershëm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publikut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medias.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ndv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shtrim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afatgjat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realizimi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F19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F1966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asqyr</w:t>
      </w:r>
      <w:r w:rsidR="007F1966">
        <w:rPr>
          <w:rFonts w:ascii="Times New Roman" w:eastAsia="Times New Roman" w:hAnsi="Times New Roman" w:cs="Times New Roman"/>
          <w:kern w:val="0"/>
          <w14:ligatures w14:val="none"/>
        </w:rPr>
        <w:t>imi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kohë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transaksioneve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minimizojë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mundësi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manipulimi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fshehjeje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përdorimi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paligjshëm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D39CA8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174A44" w14:textId="77777777" w:rsidR="007063B3" w:rsidRDefault="007063B3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9A519A2" w14:textId="77777777" w:rsidR="007063B3" w:rsidRDefault="007063B3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E41FB3" w14:textId="77777777" w:rsidR="007063B3" w:rsidRDefault="007063B3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DFD824" w14:textId="3DD531CB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2. </w:t>
      </w:r>
      <w:r w:rsidR="00B96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Rritje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integritetit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financimin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politike</w:t>
      </w:r>
      <w:proofErr w:type="spellEnd"/>
    </w:p>
    <w:p w14:paraId="073CD357" w14:textId="77777777" w:rsidR="007063B3" w:rsidRDefault="007063B3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7CC5C" w14:textId="5B5F0360" w:rsidR="00243077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kufizime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rrepta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burimet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ndalon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kategorikisht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subjekte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huaja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entitete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kontrata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persona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rekorde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caktuara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kriminale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dhurime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anonime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kufizime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eliminimin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ndikimit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interesave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jashtme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pavarësisë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besimit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proceset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rolin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shoqëri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demokratike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Kufizimet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përfshijnë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dhurime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natyrë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vlerësimit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çmime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tregut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minimizojnë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rrezikun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fshehta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907C7C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704091" w14:textId="17B9E398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="00B96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Përmirësimi</w:t>
      </w:r>
      <w:proofErr w:type="spellEnd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barazisë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konkurrencën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politike</w:t>
      </w:r>
      <w:proofErr w:type="spellEnd"/>
    </w:p>
    <w:p w14:paraId="7FCF42FA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39C4D5" w14:textId="1E0D6D6E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formul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063B3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shpërndarjes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kushte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midis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Rishpërndarja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bazohet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përfaqësimin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parlamentar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numrin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votave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pjesëmarrjen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proceset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siguruar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mbështetje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qëndrueshme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vogla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vendosur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kritere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qarta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meritokracie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BB6DC7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32DBB3" w14:textId="4D496BDA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herë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grant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specifik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nxitjen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barazisë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gjinore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përfaqësimit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rinjve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përpjekjet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demokraci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gjithëpërfshirëse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nxitjen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realizmit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objektivave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fush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barazis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gjinore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rritjes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rolit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gruas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jet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rolit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rinjve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9612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003AB6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D96F89" w14:textId="523CFD44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="00B96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Modernizimi</w:t>
      </w:r>
      <w:proofErr w:type="spellEnd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menaxhimit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politike</w:t>
      </w:r>
      <w:proofErr w:type="spellEnd"/>
    </w:p>
    <w:p w14:paraId="44EEBD40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1016EA" w14:textId="15D91B08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përdorimin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llogarive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bankare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shumicën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transaksioneve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kufizimin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përdorimit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cash,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vlerësimin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kontributeve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natyrë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regjistrimin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regjistrat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profesionalizimit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administrimit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mbrojtjen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keqpërdorimi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29BF57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46C3EC" w14:textId="4EF56D52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r w:rsidR="00B961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Forcimi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kontrollit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brendshëm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jashtëm</w:t>
      </w:r>
      <w:proofErr w:type="spellEnd"/>
    </w:p>
    <w:p w14:paraId="2DE0D6E3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73BB1" w14:textId="3028F236" w:rsidR="0032760E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brendshëm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anëtarëve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t’u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informuar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llogaridhënien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brendshme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zvogëlon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rrezikun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abuzimeve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4982BA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13568" w14:textId="756F2E20" w:rsidR="00F763E9" w:rsidRPr="00243077" w:rsidRDefault="0032760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Njëkohësisht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auditimi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caktimi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ekspertëve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kontabël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short,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ndalimi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auditimit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njëjtës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parti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dy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vite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radhazi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kompetencat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zgjeruara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verifikim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thelluar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përbëjnë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rëndësishëm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jashtëm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elementë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pavarësi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paanshmëri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cilësi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mbikëqyrjen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EA0169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692773" w14:textId="1D38977D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D4439" w14:textId="77777777" w:rsidR="003E695C" w:rsidRDefault="003E695C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03F0C" w14:textId="77777777" w:rsidR="003E695C" w:rsidRDefault="003E695C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F9F7C0" w14:textId="77777777" w:rsidR="007063B3" w:rsidRDefault="007063B3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661F25" w14:textId="77777777" w:rsidR="00C86A6E" w:rsidRDefault="00C86A6E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D64E851" w14:textId="56C5B145" w:rsidR="003C4BAC" w:rsidRPr="00243077" w:rsidRDefault="00F763E9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="00C86A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="00994A33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4A1C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94A33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PËRMBLEDHJE SHPJEGUESE E PËRMBAJTJES SË PROJEKTAKTIT</w:t>
      </w:r>
    </w:p>
    <w:p w14:paraId="29EF2F09" w14:textId="77777777" w:rsidR="006517E0" w:rsidRDefault="006517E0" w:rsidP="00651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9E4D93" w14:textId="581B49E8" w:rsidR="00F40BFD" w:rsidRPr="00243077" w:rsidRDefault="00F40BFD" w:rsidP="00651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Dispozita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përgjithshme</w:t>
      </w:r>
      <w:proofErr w:type="spellEnd"/>
    </w:p>
    <w:p w14:paraId="0826F05A" w14:textId="77777777" w:rsidR="004A1C8A" w:rsidRDefault="004A1C8A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2C770" w14:textId="6616BA4E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063B3">
        <w:rPr>
          <w:rFonts w:ascii="Times New Roman" w:eastAsia="Times New Roman" w:hAnsi="Times New Roman" w:cs="Times New Roman"/>
          <w:kern w:val="0"/>
          <w14:ligatures w14:val="none"/>
        </w:rPr>
        <w:t>rgjithshme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juridike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Ai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përfshin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C61C7D5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979CEA7" w14:textId="57EC395F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Parimet</w:t>
      </w:r>
      <w:proofErr w:type="spellEnd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bazë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ligjshmërinë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integritetin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llogaridhënien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barazinë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32760E" w:rsidRPr="00243077">
        <w:rPr>
          <w:rFonts w:ascii="Times New Roman" w:hAnsi="Times New Roman" w:cs="Times New Roman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bazë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përbëjnë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shtyllat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themelore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ndërtohet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gjithë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sistemi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rregullimit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Ato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garantojnë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funksionimin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demokratik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subjekteve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mbrojtjen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procesit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ndikimet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paligjshme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pabarabarta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konkretizon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parime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dispozitave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detajuara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besueshmërisë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integritetit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jetës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F9DB00" w14:textId="58208762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Përkufizimet</w:t>
      </w:r>
      <w:proofErr w:type="spellEnd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6517E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thelbësore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përdorura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standardizuar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terminologjinë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procedurale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B9612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C4BAC" w:rsidRPr="007063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(Neni 1-3)</w:t>
      </w:r>
    </w:p>
    <w:p w14:paraId="0CF737AE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534BEC" w14:textId="6E3BF371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4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kategoritë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shpenzimeve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lejuara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qëllimet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përdorin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burimet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materiale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garantojë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fondet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shfrytëzohen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veprimtari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institucionale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përjashtuar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përdorim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jotransparent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harmonizohet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standardet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financave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forcuar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mekanizmat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brendshëm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menaxhimin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burimeve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2540D" w:rsidRPr="00243077">
        <w:rPr>
          <w:rFonts w:ascii="Times New Roman" w:hAnsi="Times New Roman" w:cs="Times New Roman"/>
        </w:rPr>
        <w:t xml:space="preserve"> </w:t>
      </w:r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risi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thekson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rëndësinë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orientimit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drejt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nismave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rinjve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grave, duke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nxitur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përfshirjen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aktive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barabartë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jetën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B4FED4" w14:textId="77777777" w:rsidR="006517E0" w:rsidRDefault="006517E0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5A0C44" w14:textId="60367D30" w:rsidR="00B54171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5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ndalimin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forme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presioni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administrativ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ekonomik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individë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biznese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t’i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detyruar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ato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japin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kontribute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pse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partie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C644B2">
        <w:rPr>
          <w:rFonts w:ascii="Times New Roman" w:eastAsia="Times New Roman" w:hAnsi="Times New Roman" w:cs="Times New Roman"/>
          <w:kern w:val="0"/>
          <w14:ligatures w14:val="none"/>
        </w:rPr>
        <w:t>sht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dh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C644B2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kontribut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44B2">
        <w:rPr>
          <w:rFonts w:ascii="Times New Roman" w:eastAsia="Times New Roman" w:hAnsi="Times New Roman" w:cs="Times New Roman"/>
          <w:kern w:val="0"/>
          <w14:ligatures w14:val="none"/>
        </w:rPr>
        <w:t>materiale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rregullim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eliminojë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praktikat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detyruara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fshehta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mbrojë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integritetin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procesit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dhurimeve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vullnetare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barazisë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palëve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lirisë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zgjedhjes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donatorëve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kontribuar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parandalimin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abuzimeve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sigurimin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klime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A70625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938DCB" w14:textId="0F23A06A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644B2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shërben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kornizë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funksionimin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rregullt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CB5B13" w14:textId="77777777" w:rsidR="00436A54" w:rsidRDefault="00436A54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B378D2" w14:textId="0BA3AA5D" w:rsidR="00F40BFD" w:rsidRPr="00243077" w:rsidRDefault="00F40BFD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Burimet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politike</w:t>
      </w:r>
      <w:proofErr w:type="spellEnd"/>
    </w:p>
    <w:p w14:paraId="05DE445A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EBC20" w14:textId="34719E9A" w:rsidR="00F40BFD" w:rsidRPr="00243077" w:rsidRDefault="00B54171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rregullohen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burimet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aspekti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atyre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private.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Dispozitat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përfshijnë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kufizimet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përfituar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siguruar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gjurmueshmërinë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burimeve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8D8537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1C5E1C" w14:textId="3AF0F255" w:rsidR="00B54171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6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listën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burimeve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lejueshme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kuotat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anëtarësisë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dhurimet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buxheti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shtetit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huatë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ardhura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ligjshme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strukturë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gjerë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financimi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siguruar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fleksibilitet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ligjshmëri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BF46C8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AA02FA1" w14:textId="783C5CC1" w:rsidR="00B54171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7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kategoritë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donatorëve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ndaluar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subjektet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huaja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personat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anonimë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shoqëritë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kapital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shtetëror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entet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shoqëritë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koncesione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, OJF-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subjektet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debitorë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personat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dënuar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krime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caktuara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rëndësi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thelbësore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parandalimin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ndikimit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paligjshëm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ruajtjen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pavarësisë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59C6EE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2C39C0" w14:textId="4F04D692" w:rsidR="00F40BFD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8</w:t>
      </w:r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ndalimin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hapjes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shoqërive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tregtare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jotregtare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qëllim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fitimi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shmangur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mundësi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përdorin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pasuritë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ndikimin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veprimtari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ekonomike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krijojnë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konflikt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interesi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Nga ana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lejon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përdorimin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pasurive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botime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shërbime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veprimtari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ekonomiko-shoqërore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kufizuara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legjislacionin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vendas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rregullim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garanton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tejkalojnë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misionin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ruajnë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natyrën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jo-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fitimprurëse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B73B0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B0A629" w14:textId="0E3157A1" w:rsidR="0076740F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Neni </w:t>
      </w:r>
      <w:r w:rsidR="0032760E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9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rregullon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mënyrën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praktike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procedurat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regjistrimin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deklarimin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menaxhimin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ardhurave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shpenzimeve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Ai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regjistruar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ardhur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kontribut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natyrë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regjistrat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financiarë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procedura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qarta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deklarimin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dhurimeve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individë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subjekte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juridike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detyron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përdorin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llogari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bankare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transaksionet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kufizuar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përdorimin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parave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cash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rritur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gjurmueshmërinë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Neni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kthimin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transferimin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marra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pa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vullnet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kundërshtim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ligjin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masa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forcojnë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parandalojnë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financimet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paligjshme</w:t>
      </w:r>
      <w:proofErr w:type="spellEnd"/>
      <w:r w:rsidR="0032760E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C816EA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B02E14" w14:textId="748E0864" w:rsidR="00F40BFD" w:rsidRPr="00243077" w:rsidRDefault="0076740F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10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kufijtë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maksimalë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dhurimeve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383C">
        <w:rPr>
          <w:rFonts w:ascii="Times New Roman" w:eastAsia="Times New Roman" w:hAnsi="Times New Roman" w:cs="Times New Roman"/>
          <w:kern w:val="0"/>
          <w14:ligatures w14:val="none"/>
        </w:rPr>
        <w:t>shtetasit</w:t>
      </w:r>
      <w:proofErr w:type="spellEnd"/>
      <w:r w:rsidR="005138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1383C">
        <w:rPr>
          <w:rFonts w:ascii="Times New Roman" w:eastAsia="Times New Roman" w:hAnsi="Times New Roman" w:cs="Times New Roman"/>
          <w:kern w:val="0"/>
          <w14:ligatures w14:val="none"/>
        </w:rPr>
        <w:t>shqiptar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51383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personat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fizikë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juridikë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deklarimin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statusit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ligjor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donatorit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parashikohet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rgjegj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sia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deklarimi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>rrem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B52E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Ky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ruajë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proporcionalitetin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shmangë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ndikimin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tepruar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interesave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private.</w:t>
      </w:r>
    </w:p>
    <w:p w14:paraId="603447AC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6D73C6" w14:textId="0C241B34" w:rsidR="0076740F" w:rsidRPr="00243077" w:rsidRDefault="00F40BF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11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rregullon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mënyrën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ndarjes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formule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matshme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Përcaktohet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ndarja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numrit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deputetëve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votave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fituara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pjesëmarrjes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zgjedhje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garanton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barazi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stabilitet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sidomos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vogla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Risi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parashikim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përjashtimin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përfitimi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vjetore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mosdorëzimi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raportit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vjetor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mëkanizëm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forcon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zbatimin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ligjit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Po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ashtu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risi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kësaj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dispozite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parashikimi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përcaktimin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granti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politikë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cili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shpërndahet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përfitojnë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pikës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këtij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bazë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realizimit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aktiviteteve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veprimtarisë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nxitjen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barazisë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gjinore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rolit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rinjve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politikë</w:t>
      </w:r>
      <w:proofErr w:type="spellEnd"/>
      <w:r w:rsidR="0076740F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E41FD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C8A47A" w14:textId="50AE6AA6" w:rsidR="00B54171" w:rsidRPr="00243077" w:rsidRDefault="0076740F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12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përgjegjësinë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personale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personit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ngarkuar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financat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parashikuar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detyrimet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raportim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administrim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dorëzim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të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dokumentacionit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dispozitë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rrit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llogaridhënien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B54171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285A65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2F00E2" w14:textId="45765F07" w:rsidR="00243077" w:rsidRPr="00243077" w:rsidRDefault="00B54171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1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F819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mbrojtës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kundër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paligjshme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vendosur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qarta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transparence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vazhdueshëm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përgjegjëse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77EAB0" w14:textId="77777777" w:rsidR="00436A54" w:rsidRDefault="00436A54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DCB7BC" w14:textId="77777777" w:rsidR="00045A1A" w:rsidRDefault="00045A1A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19A8E1" w14:textId="77777777" w:rsidR="00045A1A" w:rsidRDefault="00045A1A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50FC02" w14:textId="77777777" w:rsidR="00045A1A" w:rsidRDefault="00045A1A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E08D2F6" w14:textId="137082A7" w:rsidR="00F40BFD" w:rsidRPr="00243077" w:rsidRDefault="00F40BFD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III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Raportimi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politike</w:t>
      </w:r>
      <w:proofErr w:type="spellEnd"/>
    </w:p>
    <w:p w14:paraId="1C5083E9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265368" w14:textId="567331F6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III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paraqet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strukturë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raportuese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vazhdueshëm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standardizim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mënyrës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paraqitjes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dhënave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Dispozitat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këtij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jo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sigurojnë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dokumentimin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korrekt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burimeve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organet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mbikëqyrëse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kenë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akses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menjëhershëm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informacione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verifikueshme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18D3EC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B5A7CD8" w14:textId="3C8B8191" w:rsidR="00E2540D" w:rsidRPr="00243077" w:rsidRDefault="00477247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Neni 13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paraqitur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çdo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vit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pranë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raportin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vitin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paraardhës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jo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vonë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data 31 mars.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jetë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hartuar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formateve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standardizuara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miratuara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KQZ, duke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informacion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burimet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kryera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vitit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zgjedhor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vjetor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dor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063B3">
        <w:rPr>
          <w:rFonts w:ascii="Times New Roman" w:eastAsia="Times New Roman" w:hAnsi="Times New Roman" w:cs="Times New Roman"/>
          <w:kern w:val="0"/>
          <w14:ligatures w14:val="none"/>
        </w:rPr>
        <w:t>zohet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bashk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raportin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fushatës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sigurohet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transparenca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vjetore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periudha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ato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auditimit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publikohen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ditëve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dorëzimi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akses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mbik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063B3">
        <w:rPr>
          <w:rFonts w:ascii="Times New Roman" w:eastAsia="Times New Roman" w:hAnsi="Times New Roman" w:cs="Times New Roman"/>
          <w:kern w:val="0"/>
          <w14:ligatures w14:val="none"/>
        </w:rPr>
        <w:t>qyrje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063B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063B3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7063B3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E337E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9744FED" w14:textId="3186F7D3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ndan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kategoritë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ato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përjashtohen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Kuotat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anëtarësisë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nënshtrohen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respektuar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natyrën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kontribute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rregullta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819DF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F819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819DF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B46BF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F819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819DF">
        <w:rPr>
          <w:rFonts w:ascii="Times New Roman" w:eastAsia="Times New Roman" w:hAnsi="Times New Roman" w:cs="Times New Roman"/>
          <w:kern w:val="0"/>
          <w14:ligatures w14:val="none"/>
        </w:rPr>
        <w:t>vogla</w:t>
      </w:r>
      <w:proofErr w:type="spellEnd"/>
      <w:r w:rsidR="00F819D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anëtarëve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Ndërkohë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legjislacionit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tatimor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fuqi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qenë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zakonshëm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fiskal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Ky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siguron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trajtim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barabartë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fiskal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shmang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përjashtimeve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panevojshme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5100CD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2AE87A" w14:textId="646A3A72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statut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funksionalë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brendshëm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integritetit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zbulimin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hershëm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parregullsive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menaxhimin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qëndrueshëm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Po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ashtu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anëtarëve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t’u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informuar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ardhurat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rritur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kështu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brendshme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llogaridhënien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strukturave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drejtuese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340A91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255EB2" w14:textId="7098AD0F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pasoja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drejtpërdrejta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shlyejnë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tatimore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administrative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gjyqësore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Shuma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papaguar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zbritet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automatikisht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shpërndahet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ndërsa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tejkalojnë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shumën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humbet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marrë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zgjedhje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shlyerjen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disiplinon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përgjegjshmërinë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shmang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favorizimet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D54F6C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AEAC5B" w14:textId="638628BA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ndërton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auditimi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pavarur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vjetore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ekspertë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kontabël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licencuar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eksperiencë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vjet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cilët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caktohen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 me short,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paanshmëri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Eksperti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auditojë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njëjtën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parti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dy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vite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radhazi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shmangur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konfliktet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interesit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KQZ ka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verifikojë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dhënat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kërkuar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dokumente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shtesë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informacione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bankat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tatimore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dyshimesh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parregullsi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kalohen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prokurorisë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institucioneve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specializuara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Pas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përfundimit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verifikimeve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KQZ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maksimale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55C6DE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14040C" w14:textId="338DF38B" w:rsidR="00E41D36" w:rsidRDefault="00E2540D" w:rsidP="00E41D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standard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transparence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parlamentare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Ato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kenë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faqe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zyrtare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funksionale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shpenzimet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kryera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listën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donatorëve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emër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mbiemër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vlerën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datën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kontributit</w:t>
      </w:r>
      <w:proofErr w:type="spellEnd"/>
      <w:r w:rsidR="003F7AB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vjetor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qëndrojë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aksesueshëm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faqen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paktën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vite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dispozitë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forcon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kulturën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vazhdueshme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FDC6E9" w14:textId="77777777" w:rsidR="003F7ABB" w:rsidRDefault="003F7ABB" w:rsidP="00E41D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15C1B8" w14:textId="315CF3B2" w:rsidR="00E2540D" w:rsidRPr="00E41D36" w:rsidRDefault="00E2540D" w:rsidP="00E41D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IV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Struktura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përgjegjëse</w:t>
      </w:r>
      <w:proofErr w:type="spellEnd"/>
    </w:p>
    <w:p w14:paraId="6F3E2875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B55C47" w14:textId="7DB3A141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IV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21836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rcakton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insitucionin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21836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rgjegj</w:t>
      </w:r>
      <w:r w:rsidR="00221836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21836" w:rsidRP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mbikëqyrje</w:t>
      </w:r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>montorimin</w:t>
      </w:r>
      <w:proofErr w:type="spellEnd"/>
      <w:r w:rsidR="003C4BA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16B51F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C546035" w14:textId="3757A847" w:rsidR="00221836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ngarkon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organin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qendror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përgjegjës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monitorimin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kontrollin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auditimin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financave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KQZ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miraton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formatet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mban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regjistrat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organizon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shortin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caktimin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ekspertëve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kontabël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vendos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sanksione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shkeljet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strukturën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KQZ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ngrihet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D6256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2D62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D6256"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2D6256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dedikuar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mbikëqyrjen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873972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E0C925" w14:textId="2C2F3EC1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Sanksionet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administrative</w:t>
      </w:r>
    </w:p>
    <w:p w14:paraId="6CC4B6D0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914E1C" w14:textId="3E94C7E0" w:rsidR="00E2540D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V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trajton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mekanizmin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ndëshkues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shkeljeve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A8B0D6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6424A3" w14:textId="3EA2F548" w:rsidR="00477247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Neni 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 </w:t>
      </w:r>
      <w:proofErr w:type="spellStart"/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herë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rregullim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mbështetjes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materiale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shteti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jep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Neni 20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specifikon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drejtën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parlamentare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përdorur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pa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shpërblim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mjetet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informimit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fushatave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t’u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pajisur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seli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qendrore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zyra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vendore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rregullon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procedurën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kërkimit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hapësirave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Ministria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përgjegjëse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pronat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bashkitë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mënyrën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zgjidhjes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rasteve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kur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zyra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lira –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marrjes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përsipër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shteti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pagesës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qirasë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krijon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kushte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barabarta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infrastrukturore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parlamentare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shmang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përdorimin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arbitrar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aseteve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</w:p>
    <w:p w14:paraId="6F0A882E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442469" w14:textId="51A62C9E" w:rsidR="00477247" w:rsidRPr="00243077" w:rsidRDefault="00477247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21</w:t>
      </w:r>
      <w:r w:rsidR="00E2540D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gjoba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ndryshme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varësi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shkeljes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Gjobat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variojnë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shkeljet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lehta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mosdorëzimi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raporteve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afatit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deri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shkeljet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rënda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refuzimi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pranimi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ndaluara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çojnë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pezullimin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deri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pesë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vjet</w:t>
      </w:r>
      <w:proofErr w:type="spellEnd"/>
      <w:r w:rsidR="00E2540D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43077">
        <w:rPr>
          <w:rFonts w:ascii="Times New Roman" w:hAnsi="Times New Roman" w:cs="Times New Roman"/>
        </w:rPr>
        <w:t xml:space="preserve"> </w:t>
      </w:r>
      <w:proofErr w:type="spellStart"/>
      <w:r w:rsidRPr="00243077">
        <w:rPr>
          <w:rFonts w:ascii="Times New Roman" w:hAnsi="Times New Roman" w:cs="Times New Roman"/>
        </w:rPr>
        <w:t>Dispozita</w:t>
      </w:r>
      <w:proofErr w:type="spellEnd"/>
      <w:r w:rsidRPr="00243077">
        <w:rPr>
          <w:rFonts w:ascii="Times New Roman" w:hAnsi="Times New Roman" w:cs="Times New Roman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fondet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papublikuara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paidentifikuara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kalojnë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automatikisht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favor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tej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sanksioni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fortë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dorëzon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dy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vite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radhazi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Vjetor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përjashtohet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drejta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t’u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regjistruar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zgjedhjet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afërta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ato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pasuese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ndjeshëm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përgjegjësinë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respektimin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standardeve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A3ED8D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378E82A" w14:textId="0217444D" w:rsidR="00CA60FC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</w:t>
      </w:r>
      <w:r w:rsidR="00477247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përcakton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kriteret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vlerësimit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mas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="00477247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administrative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natyrën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shkeljes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kohëzgjatjen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shkallën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fshehjes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bashkëpunimin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subjektit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përsëritjen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mundshme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A60FC" w:rsidRPr="00243077">
        <w:rPr>
          <w:rFonts w:ascii="Times New Roman" w:hAnsi="Times New Roman" w:cs="Times New Roman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dispozit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shpjegon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kriteret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vlerësimit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gjobës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rrezikshmëria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kohëzgjatja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shkeljes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përpjekjet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fshehje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bashkëpunimi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subjektit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përsëritja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siguron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gjobat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proporcionale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arsyetuara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shmangur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arbitraritetin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vendimmarrje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4E9BDA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B28853" w14:textId="18DD212E" w:rsidR="00CA60FC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</w:t>
      </w:r>
      <w:r w:rsidR="00CA60FC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përfshin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drejtën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ankimit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pranë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gjykatës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kompetente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mënyrën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ekzekutimit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gjobës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legjislacionit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kundërvajtjet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administrative,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faktin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gjobat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kalojnë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buxhetin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shtetit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garanton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rregullt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juridik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mbrojtje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drejtave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procedurale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F6EFE8" w14:textId="77777777" w:rsidR="00436A54" w:rsidRDefault="00436A54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C5F4D6" w14:textId="665E6774" w:rsidR="00E2540D" w:rsidRPr="00243077" w:rsidRDefault="00E2540D" w:rsidP="006517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 –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Dispozita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fundit</w:t>
      </w:r>
      <w:proofErr w:type="spellEnd"/>
    </w:p>
    <w:p w14:paraId="64C292CF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752650" w14:textId="17E91B22" w:rsidR="00CA60FC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Kreu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VI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përmbyll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kuadrin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ligjor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rregulluar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çështjet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tranzitore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përfundimtare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853FB0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A4EE52" w14:textId="3B1FAEE4" w:rsidR="00CA60FC" w:rsidRPr="00243077" w:rsidRDefault="00CA60FC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24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KQZ-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raportimin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elektronik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platforme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dedikuar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Platforma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ofrojë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pasqyrim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kohë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reale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transaksioneve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krijuar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gjurmueshmëri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transparencë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KQZ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ngarkohet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miratojë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aktet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nënligjore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funksionimin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juridik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sistemit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elektronik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34C2BE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7E90BF" w14:textId="56F0C382" w:rsidR="00CA60FC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</w:t>
      </w:r>
      <w:r w:rsidR="00CA60FC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ngarkon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Këshillin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Ministrave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detyrimin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miratimin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respektivisht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brenda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0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ditëve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dit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0B4FC3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akteve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nënligjore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ne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zbatim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dispozitave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0B4FC3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ligji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7E3F0D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01085C" w14:textId="417524F8" w:rsidR="00CA60FC" w:rsidRPr="00243077" w:rsidRDefault="00E2540D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</w:t>
      </w:r>
      <w:r w:rsidR="00CA60FC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shfuqizon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dispozitat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përkatëse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>ligjit</w:t>
      </w:r>
      <w:proofErr w:type="spellEnd"/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”, duke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nenet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raportimin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auditimin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publikimin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financiar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shfuqizim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plotë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siguron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koherencën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kuadrit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ligjor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shmang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mbivendosjet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akteve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4FC3">
        <w:rPr>
          <w:rFonts w:ascii="Times New Roman" w:eastAsia="Times New Roman" w:hAnsi="Times New Roman" w:cs="Times New Roman"/>
          <w:kern w:val="0"/>
          <w14:ligatures w14:val="none"/>
        </w:rPr>
        <w:t>ndryshme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 normative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67BBC6" w14:textId="77777777" w:rsidR="00436A54" w:rsidRDefault="00436A54" w:rsidP="00651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9B7B74" w14:textId="7F595D32" w:rsidR="00E56E0E" w:rsidRPr="00E56E0E" w:rsidRDefault="00E2540D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2</w:t>
      </w:r>
      <w:r w:rsidR="00CA60FC" w:rsidRPr="0024307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243077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rcakton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hyn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fuqi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tre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muaj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pas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botimit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Fletoren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Zyrtare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, me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përjashtim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41D36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rantit</w:t>
      </w:r>
      <w:proofErr w:type="spellEnd"/>
      <w:r w:rsidR="000B4F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cili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hyn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fuqi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proofErr w:type="spellStart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>janar</w:t>
      </w:r>
      <w:proofErr w:type="spellEnd"/>
      <w:r w:rsidR="00CA60FC" w:rsidRPr="00243077">
        <w:rPr>
          <w:rFonts w:ascii="Times New Roman" w:eastAsia="Times New Roman" w:hAnsi="Times New Roman" w:cs="Times New Roman"/>
          <w:kern w:val="0"/>
          <w14:ligatures w14:val="none"/>
        </w:rPr>
        <w:t xml:space="preserve"> 2027. </w:t>
      </w:r>
    </w:p>
    <w:p w14:paraId="3AF42DE1" w14:textId="77777777" w:rsidR="00E56E0E" w:rsidRP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003812" w14:textId="77777777" w:rsidR="004A1C8A" w:rsidRDefault="004A1C8A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59AFBCD" w14:textId="6C5D6A2C" w:rsidR="00994A33" w:rsidRPr="00E56E0E" w:rsidRDefault="00F763E9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III. </w:t>
      </w:r>
      <w:r w:rsidR="00E56E0E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43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VLERËSIMI I LIGJSHMËRISË, KUSHTETUTSHMËRISË DHE HARMONIZIMI ME LEGJISLACIONIN NË FUQI VENDAS E NDËRKOMBËTAR</w:t>
      </w:r>
    </w:p>
    <w:p w14:paraId="71246516" w14:textId="77777777" w:rsidR="00E56E0E" w:rsidRDefault="00E56E0E" w:rsidP="00E56E0E">
      <w:pPr>
        <w:pStyle w:val="NormalWeb"/>
        <w:spacing w:after="0" w:line="240" w:lineRule="auto"/>
        <w:jc w:val="both"/>
        <w:rPr>
          <w:rFonts w:eastAsia="Times New Roman"/>
          <w:kern w:val="0"/>
          <w14:ligatures w14:val="none"/>
        </w:rPr>
      </w:pPr>
    </w:p>
    <w:p w14:paraId="0987888B" w14:textId="45D756A9" w:rsidR="009D2BBB" w:rsidRPr="00E56E0E" w:rsidRDefault="00F763E9" w:rsidP="00E56E0E">
      <w:pPr>
        <w:pStyle w:val="NormalWeb"/>
        <w:spacing w:after="0" w:line="240" w:lineRule="auto"/>
        <w:jc w:val="both"/>
        <w:rPr>
          <w:rFonts w:eastAsia="Times New Roman"/>
          <w:kern w:val="0"/>
          <w14:ligatures w14:val="none"/>
        </w:rPr>
      </w:pPr>
      <w:proofErr w:type="spellStart"/>
      <w:r w:rsidRPr="00E56E0E">
        <w:rPr>
          <w:rFonts w:eastAsia="Times New Roman"/>
          <w:kern w:val="0"/>
          <w14:ligatures w14:val="none"/>
        </w:rPr>
        <w:t>Projektligji</w:t>
      </w:r>
      <w:proofErr w:type="spellEnd"/>
      <w:r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Pr="00E56E0E">
        <w:rPr>
          <w:rFonts w:eastAsia="Times New Roman"/>
          <w:kern w:val="0"/>
          <w14:ligatures w14:val="none"/>
        </w:rPr>
        <w:t>është</w:t>
      </w:r>
      <w:proofErr w:type="spellEnd"/>
      <w:r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Pr="00E56E0E">
        <w:rPr>
          <w:rFonts w:eastAsia="Times New Roman"/>
          <w:kern w:val="0"/>
          <w14:ligatures w14:val="none"/>
        </w:rPr>
        <w:t>hartuar</w:t>
      </w:r>
      <w:proofErr w:type="spellEnd"/>
      <w:r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në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Pr="00E56E0E">
        <w:rPr>
          <w:rFonts w:eastAsia="Times New Roman"/>
          <w:kern w:val="0"/>
          <w14:ligatures w14:val="none"/>
        </w:rPr>
        <w:t>mbështet</w:t>
      </w:r>
      <w:r w:rsidR="009D2BBB" w:rsidRPr="00E56E0E">
        <w:rPr>
          <w:rFonts w:eastAsia="Times New Roman"/>
          <w:kern w:val="0"/>
          <w14:ligatures w14:val="none"/>
        </w:rPr>
        <w:t>je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t</w:t>
      </w:r>
      <w:r w:rsidRPr="00E56E0E">
        <w:rPr>
          <w:rFonts w:eastAsia="Times New Roman"/>
          <w:kern w:val="0"/>
          <w14:ligatures w14:val="none"/>
        </w:rPr>
        <w:t>ë</w:t>
      </w:r>
      <w:proofErr w:type="spellEnd"/>
      <w:r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eastAsia="Times New Roman"/>
          <w:kern w:val="0"/>
          <w14:ligatures w14:val="none"/>
        </w:rPr>
        <w:t>neni</w:t>
      </w:r>
      <w:r w:rsidR="009D2BBB" w:rsidRPr="00E56E0E">
        <w:rPr>
          <w:rFonts w:eastAsia="Times New Roman"/>
          <w:kern w:val="0"/>
          <w14:ligatures w14:val="none"/>
        </w:rPr>
        <w:t>t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81/1 </w:t>
      </w:r>
      <w:proofErr w:type="spellStart"/>
      <w:r w:rsidR="009D2BBB" w:rsidRPr="00E56E0E">
        <w:rPr>
          <w:rFonts w:eastAsia="Times New Roman"/>
          <w:bCs/>
          <w:kern w:val="0"/>
          <w14:ligatures w14:val="none"/>
        </w:rPr>
        <w:t>Kushtetutës</w:t>
      </w:r>
      <w:proofErr w:type="spellEnd"/>
      <w:r w:rsidR="009D2BBB" w:rsidRPr="00E56E0E">
        <w:rPr>
          <w:rFonts w:eastAsia="Times New Roman"/>
          <w:b/>
          <w:bCs/>
          <w:kern w:val="0"/>
          <w14:ligatures w14:val="none"/>
        </w:rPr>
        <w:t xml:space="preserve">. </w:t>
      </w:r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Projektligji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është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në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përputhje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të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plotë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 me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Kushtetutën</w:t>
      </w:r>
      <w:proofErr w:type="spellEnd"/>
      <w:r w:rsidR="009D2BBB" w:rsidRPr="00E56E0E">
        <w:rPr>
          <w:rFonts w:eastAsia="Times New Roman"/>
          <w:kern w:val="0"/>
          <w14:ligatures w14:val="none"/>
        </w:rPr>
        <w:t xml:space="preserve">, </w:t>
      </w:r>
      <w:proofErr w:type="spellStart"/>
      <w:r w:rsidR="009D2BBB" w:rsidRPr="00E56E0E">
        <w:rPr>
          <w:rFonts w:eastAsia="Times New Roman"/>
          <w:kern w:val="0"/>
          <w14:ligatures w14:val="none"/>
        </w:rPr>
        <w:t>sepse</w:t>
      </w:r>
      <w:proofErr w:type="spellEnd"/>
      <w:r w:rsidR="009D2BBB" w:rsidRPr="00E56E0E">
        <w:rPr>
          <w:rFonts w:eastAsia="Times New Roman"/>
          <w:kern w:val="0"/>
          <w14:ligatures w14:val="none"/>
        </w:rPr>
        <w:t>:</w:t>
      </w:r>
    </w:p>
    <w:p w14:paraId="2F8DF811" w14:textId="3D2F72FD" w:rsidR="009D2BBB" w:rsidRPr="00E56E0E" w:rsidRDefault="009D2BBB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siguron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rregulla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qarta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barabarta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9);</w:t>
      </w:r>
    </w:p>
    <w:p w14:paraId="74726729" w14:textId="11876EAC" w:rsidR="009D2BBB" w:rsidRPr="00E56E0E" w:rsidRDefault="009D2BBB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garanton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shtetit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drejtës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1);</w:t>
      </w:r>
    </w:p>
    <w:p w14:paraId="63EC7891" w14:textId="672A481E" w:rsidR="009D2BBB" w:rsidRPr="00E56E0E" w:rsidRDefault="009D2BBB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mbështet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integritetin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proceseve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45);</w:t>
      </w:r>
    </w:p>
    <w:p w14:paraId="01DA4971" w14:textId="6ADBD306" w:rsidR="009D2BBB" w:rsidRPr="00E56E0E" w:rsidRDefault="009D2BBB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auditim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kërkesat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kushtetuese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buxhetin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E41D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35B2B9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023B5" w14:textId="7E1B0257" w:rsidR="009D2BBB" w:rsidRPr="00E56E0E" w:rsidRDefault="009D2BBB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kushtetuese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përbëjnë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bazën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domosdoshme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ligjshëm</w:t>
      </w:r>
      <w:proofErr w:type="spellEnd"/>
      <w:r w:rsidR="00E2540D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2540D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2540D" w:rsidRPr="00E56E0E">
        <w:rPr>
          <w:rFonts w:ascii="Times New Roman" w:eastAsia="Times New Roman" w:hAnsi="Times New Roman" w:cs="Times New Roman"/>
          <w:kern w:val="0"/>
          <w14:ligatures w14:val="none"/>
        </w:rPr>
        <w:t>plotësisht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zbatueshëm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sistemin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juridik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shqiptar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58AE47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2A312" w14:textId="40164B6F" w:rsidR="00F763E9" w:rsidRPr="00E56E0E" w:rsidRDefault="009D2BBB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Projektakti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hartuar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mbështetje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praktika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mira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>rekomandimet</w:t>
      </w:r>
      <w:proofErr w:type="spellEnd"/>
      <w:r w:rsidR="00F763E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organizmave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ndërkombëtar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prioritetet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Qeverisë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shqiptare</w:t>
      </w:r>
      <w:proofErr w:type="spellEnd"/>
      <w:r w:rsidR="00994A33"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B45DA8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F96D415" w14:textId="0F22A22D" w:rsidR="00F763E9" w:rsidRPr="00E56E0E" w:rsidRDefault="00F763E9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proofErr w:type="spellStart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Legjislacioni</w:t>
      </w:r>
      <w:proofErr w:type="spellEnd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kroat</w:t>
      </w:r>
      <w:proofErr w:type="spellEnd"/>
    </w:p>
    <w:p w14:paraId="58533512" w14:textId="77777777" w:rsidR="00F763E9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kroat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ofron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model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konsoliduar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B27CEBB" w14:textId="324EEFF0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llogari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veçanta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bankare</w:t>
      </w:r>
      <w:proofErr w:type="spellEnd"/>
      <w:r w:rsidR="00B52E0D"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1329196" w14:textId="7AB134ED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mbikëqyrje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centralizuar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autoritet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C07DD11" w14:textId="5D4F3A37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auditim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jashtëm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detyrueshëm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6A2AAD" w14:textId="2619C9BB" w:rsidR="003C4BAC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elemente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plotësisht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rolin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KQZ-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autoritet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mbikëqyrës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CD1DB5" w14:textId="77777777" w:rsidR="00CA13E8" w:rsidRDefault="00CA13E8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642688" w14:textId="65F478DA" w:rsidR="00F763E9" w:rsidRPr="00E56E0E" w:rsidRDefault="00F763E9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proofErr w:type="spellStart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Legjislacioni</w:t>
      </w:r>
      <w:proofErr w:type="spellEnd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lituanez</w:t>
      </w:r>
      <w:proofErr w:type="spellEnd"/>
    </w:p>
    <w:p w14:paraId="3D95A1AC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27081F" w14:textId="3242892F" w:rsidR="00F763E9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lituanez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njihet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rigorozitetin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Nga ai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adoptuar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6F6980" w14:textId="14CD5AEF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detyrimi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deklarim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tatimor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dhuruesve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mëdhenj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D2F1DFB" w14:textId="65B89BF1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vlerësimi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donacioneve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natyrë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çmimit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tregut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C2CEDFD" w14:textId="602C7E80" w:rsidR="00243077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publikimi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dhënave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formate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hapura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lexueshme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detyrim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jo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vet</w:t>
      </w:r>
      <w:r w:rsidR="003C4BAC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m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KQZ-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C4BAC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vet</w:t>
      </w:r>
      <w:r w:rsidR="003C4BAC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093C78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93C78" w:rsidRPr="00E56E0E">
        <w:rPr>
          <w:rFonts w:ascii="Times New Roman" w:eastAsia="Times New Roman" w:hAnsi="Times New Roman" w:cs="Times New Roman"/>
          <w:kern w:val="0"/>
          <w14:ligatures w14:val="none"/>
        </w:rPr>
        <w:t>Parlamentare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1D37A1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7890EB" w14:textId="755ECCA6" w:rsidR="00E56E0E" w:rsidRP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Legjislacioni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vendet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rajonit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Kosova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Mali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Zi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fush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ancimit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marr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konsiderat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shfryt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formulimet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C1FD0C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21DDCBC" w14:textId="35AF9068" w:rsidR="00F763E9" w:rsidRP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Rekomandimet</w:t>
      </w:r>
      <w:proofErr w:type="spellEnd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GRECO-s</w:t>
      </w:r>
    </w:p>
    <w:p w14:paraId="411375DB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9DD16" w14:textId="0CA8C17C" w:rsidR="00F763E9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GRECO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rekomandon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933EBB" w14:textId="074D336D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rritur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CDA4615" w14:textId="1C6FBFA0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auditim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besueshëm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pavarur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CBF454E" w14:textId="51D5A556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sanksione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efektive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0D2AB95" w14:textId="1586687F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burimeve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private.</w:t>
      </w:r>
    </w:p>
    <w:p w14:paraId="7265C719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9F0F03" w14:textId="0326610C" w:rsidR="00B52E0D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adreson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aspekte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mekanizmat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auditimit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kern w:val="0"/>
          <w14:ligatures w14:val="none"/>
        </w:rPr>
        <w:t>raportimit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duke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parashikuar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sanksione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përjashtimin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partisë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politike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nga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përfitimi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ndihmës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financiare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vjetore</w:t>
      </w:r>
      <w:proofErr w:type="spellEnd"/>
      <w:r w:rsidR="00B52E0D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CA60FC" w:rsidRPr="00E56E0E">
        <w:rPr>
          <w:rFonts w:ascii="Times New Roman" w:hAnsi="Times New Roman" w:cs="Times New Roman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Ndalimi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financimeve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nga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subjektet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kanë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kontrata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koncesionare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PPP apo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marrëdhënie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tjera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shtetin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neni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7)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përgjigjet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kërkesave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GRECO-s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kufizimin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burimeve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ekspozuara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ndaj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konfliktit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interesit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forcimin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integritetit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financimeve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politike</w:t>
      </w:r>
      <w:proofErr w:type="spellEnd"/>
      <w:r w:rsidR="00CA60FC" w:rsidRPr="00E56E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F9000E0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95F201" w14:textId="6171448D" w:rsidR="00F763E9" w:rsidRP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Rekomandimet</w:t>
      </w:r>
      <w:proofErr w:type="spellEnd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OSBE/ODIHR-it</w:t>
      </w:r>
    </w:p>
    <w:p w14:paraId="5ECB93AE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1DBAB" w14:textId="527E9FF6" w:rsidR="00F763E9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Rekomandimet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OSBE/ODIHR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Shqipërinë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theksuar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nevojën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C9D94EA" w14:textId="3EA98B94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elektronik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dhënave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466A748" w14:textId="6C768B23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shpenzimeve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fushatave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707C07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40BB58" w14:textId="7C1F3CE8" w:rsidR="00CA60FC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përmbush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gjitha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kritere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risis</w:t>
      </w:r>
      <w:r w:rsidR="00243077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243077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elektronike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kohë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reale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24)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detyrimi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publikim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tremujor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shpenzimeve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donacioneve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18)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pasqyrojnë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drejtpërdrejt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rekomandimet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OSBE/ODIHR-it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publikimin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periodik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dhënave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theksuara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raportet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fundit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Shqipërinë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4E9E16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A80B707" w14:textId="77777777" w:rsidR="00CA13E8" w:rsidRDefault="00CA13E8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A9434C" w14:textId="4DF992C7" w:rsidR="00F763E9" w:rsidRP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Rekomandimet</w:t>
      </w:r>
      <w:proofErr w:type="spellEnd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Komisionit</w:t>
      </w:r>
      <w:proofErr w:type="spellEnd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F763E9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Venecias</w:t>
      </w:r>
      <w:proofErr w:type="spellEnd"/>
    </w:p>
    <w:p w14:paraId="44059E42" w14:textId="77777777" w:rsidR="00CA13E8" w:rsidRDefault="00CA13E8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7895C" w14:textId="36FA8679" w:rsidR="00F763E9" w:rsidRPr="00E56E0E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Venecias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thekson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proporcionalitetit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mosdiskriminimit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parashikueshmërisë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ligjit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respekton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parime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duke:</w:t>
      </w:r>
    </w:p>
    <w:p w14:paraId="0AAD6498" w14:textId="1BE76E59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vendosur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kufij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arsyeshëm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8F8CA59" w14:textId="295FCD68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krijuar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mekanizma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kontrolli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jo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arbitrarë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3B779BD6" w14:textId="192C600D" w:rsidR="00F763E9" w:rsidRPr="00E56E0E" w:rsidRDefault="00F763E9" w:rsidP="00E56E0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siguruar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barazi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ndërmjet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subjekteve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shpërndarjes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B912C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2BDF5" w14:textId="58753F55" w:rsidR="00C14409" w:rsidRPr="00E56E0E" w:rsidRDefault="00C1440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parime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pasqyruara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draft-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aktual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dispozi</w:t>
      </w:r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ta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sigur</w:t>
      </w:r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uar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jetë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parashikueshëm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jo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diskriminues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plotësisht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standardet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kërkuara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Venecias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A60FC" w:rsidRPr="00E56E0E">
        <w:rPr>
          <w:rFonts w:ascii="Times New Roman" w:hAnsi="Times New Roman" w:cs="Times New Roman"/>
        </w:rPr>
        <w:t xml:space="preserve"> </w:t>
      </w:r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Formula e re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shpërndarjes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proporcionalitetit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detyrimet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auditimit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pavarur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neni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17)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reflektojnë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drejtpërdrejt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Komisionit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Venecias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barazi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midis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mosdiskriminim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kontroll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efektiv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136E1F" w14:textId="77777777" w:rsidR="00E56E0E" w:rsidRDefault="00E56E0E" w:rsidP="00E56E0E">
      <w:pPr>
        <w:pStyle w:val="NormalWeb"/>
        <w:spacing w:after="0" w:line="240" w:lineRule="auto"/>
        <w:jc w:val="both"/>
        <w:rPr>
          <w:rFonts w:eastAsia="Times New Roman"/>
          <w:b/>
          <w:bCs/>
          <w:kern w:val="0"/>
          <w14:ligatures w14:val="none"/>
        </w:rPr>
      </w:pPr>
    </w:p>
    <w:p w14:paraId="7E001AC9" w14:textId="44DAF666" w:rsidR="00A91B76" w:rsidRPr="00E56E0E" w:rsidRDefault="00E56E0E" w:rsidP="00E56E0E">
      <w:pPr>
        <w:pStyle w:val="NormalWeb"/>
        <w:spacing w:after="0" w:line="240" w:lineRule="auto"/>
        <w:jc w:val="both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7</w:t>
      </w:r>
      <w:r w:rsidR="00A91B76" w:rsidRPr="00E56E0E">
        <w:rPr>
          <w:rFonts w:eastAsia="Times New Roman"/>
          <w:b/>
          <w:bCs/>
          <w:kern w:val="0"/>
          <w14:ligatures w14:val="none"/>
        </w:rPr>
        <w:t xml:space="preserve">. </w:t>
      </w:r>
      <w:r w:rsidRPr="00E56E0E">
        <w:rPr>
          <w:rFonts w:eastAsia="Times New Roman"/>
          <w:b/>
          <w:bCs/>
          <w:kern w:val="0"/>
          <w14:ligatures w14:val="none"/>
        </w:rPr>
        <w:t xml:space="preserve"> </w:t>
      </w:r>
      <w:proofErr w:type="spellStart"/>
      <w:r w:rsidR="00A91B76" w:rsidRPr="00E56E0E">
        <w:rPr>
          <w:rFonts w:eastAsia="Times New Roman"/>
          <w:b/>
          <w:bCs/>
          <w:kern w:val="0"/>
          <w14:ligatures w14:val="none"/>
        </w:rPr>
        <w:t>Rekomandimet</w:t>
      </w:r>
      <w:proofErr w:type="spellEnd"/>
      <w:r w:rsidR="00A91B76" w:rsidRPr="00E56E0E">
        <w:rPr>
          <w:rFonts w:eastAsia="Times New Roman"/>
          <w:b/>
          <w:bCs/>
          <w:kern w:val="0"/>
          <w14:ligatures w14:val="none"/>
        </w:rPr>
        <w:t xml:space="preserve"> e International IDEA – “Political Finance in the Digital Age”</w:t>
      </w:r>
    </w:p>
    <w:p w14:paraId="75CE6705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E23ED4" w14:textId="0E769212" w:rsidR="00CA60FC" w:rsidRPr="00E56E0E" w:rsidRDefault="00A91B76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burim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rëndësishëm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ndërkombëtar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marrë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konsideratë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hartimit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analiza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International IDEA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epokën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digjitale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(“Political Finance in the Digital Age”).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Rekomandimet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IDEA-s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përqendrohen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fusha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kryesore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digjitale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rregullimin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reklamave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online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kapaciteteve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institucionale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monitorim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kohë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Elementet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thelbësore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këtyre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rekomandimeve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pasqyruar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draft-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nd</w:t>
      </w:r>
      <w:r w:rsidR="003C4BAC"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>rtuar</w:t>
      </w:r>
      <w:proofErr w:type="spellEnd"/>
      <w:r w:rsidR="00760BF2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dispozita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standardet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kërkojnë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gjurmueshmëri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lartë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rregullim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aktiviteteve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mjedisin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online.</w:t>
      </w:r>
      <w:r w:rsidR="00CA60FC" w:rsidRPr="00E56E0E">
        <w:rPr>
          <w:rFonts w:ascii="Times New Roman" w:hAnsi="Times New Roman" w:cs="Times New Roman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Përdorimi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platformës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elektronike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gjurmueshmëria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transaksioneve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standardet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International IDEA-s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digjitalizimin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financiare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>epokën</w:t>
      </w:r>
      <w:proofErr w:type="spellEnd"/>
      <w:r w:rsidR="00CA60FC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online.</w:t>
      </w:r>
    </w:p>
    <w:p w14:paraId="6A530869" w14:textId="77777777" w:rsidR="00E56E0E" w:rsidRDefault="00E56E0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A30C83" w14:textId="1C0DCCF9" w:rsidR="00C14409" w:rsidRPr="00E56E0E" w:rsidRDefault="00A91B76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Përfshirja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këtyre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elementeve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tregon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se draft-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hartuar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përputhje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rekomandimet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bashkëkohore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IDEA,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siguruar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qasje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modernizuar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efektive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epokën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digjitale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Standardet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praktikat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mira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identifikuara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IDEA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dukshme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dispozitat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trajtojnë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digjitale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raportimin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online,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reklamimin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kapaciteteve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mbikëqyrjes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institucionale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41D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Sa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sip</w:t>
      </w:r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rezulton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drafti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reflekton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mënyrë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qëndrueshme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parimet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proporcionalitetit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mosdiskriminimit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parashikueshmërisë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ligjit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kufizimeve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balancuara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mekanizmave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kontrollit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shpërndarjes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fondeve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ndërmjet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="00C14409"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5EBAE5" w14:textId="2434ACA0" w:rsidR="00994A33" w:rsidRDefault="00994A33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D71B0" w14:textId="77777777" w:rsidR="00C86A6E" w:rsidRPr="00E56E0E" w:rsidRDefault="00C86A6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92881" w14:textId="2F03D904" w:rsidR="00994A33" w:rsidRPr="00E56E0E" w:rsidRDefault="004A1C8A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IV.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E56E0E">
        <w:rPr>
          <w:rFonts w:ascii="Times New Roman" w:eastAsia="Times New Roman" w:hAnsi="Times New Roman" w:cs="Times New Roman"/>
          <w:b/>
          <w:kern w:val="0"/>
          <w14:ligatures w14:val="none"/>
        </w:rPr>
        <w:t>VLERËSIMI I PROJEKTAKTIT NË RAPORT ME PROGRAMIN POLITIK TË KËSHILLIT TË MINISTRAVE, ME PROGRAMIN ANALITIK TË AKTEVE DHE DOKUMENTE TË TJERA POLITIKE</w:t>
      </w:r>
    </w:p>
    <w:p w14:paraId="4439D828" w14:textId="77777777" w:rsidR="00994A33" w:rsidRPr="00E56E0E" w:rsidRDefault="00994A33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CE49F" w14:textId="41A9418C" w:rsidR="003C4BAC" w:rsidRPr="00E56E0E" w:rsidRDefault="003C4BAC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Ky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komponent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punës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Komisionit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Posaçëm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Parlamentar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Reformën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përbën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integrale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paketës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gjerë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reformave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synojnë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përmirësimin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kuadrit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rregullator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proceseve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Republikën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Shqipërisë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Projektakti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plot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son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angazhimet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ndërkombëtare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vendit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integritetit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Ai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kontribuon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drejtpërdrejt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standardeve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demokratike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llogaridhënies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aktorëve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sigurimin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kushteve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barabarta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garën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EADB35" w14:textId="77777777" w:rsidR="00E41D36" w:rsidRDefault="00E41D36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B18E06" w14:textId="587D386F" w:rsidR="003C4BAC" w:rsidRPr="00E56E0E" w:rsidRDefault="003C4BAC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përputhet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programin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analitik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akteve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adresuar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reformave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prioritare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fushën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zgjedhjeve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administrimit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financimeve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objektivat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strategjikë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lidhen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përmirësimin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transparencës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modernizimin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proceseve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administrative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forcimin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mekanizmave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mbikëqyrjes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. Ai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harmonizohet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dokumentet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miratuara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Kuvendi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sht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zbatim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detyr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Kuvendit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vendosur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vendimin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56E0E" w:rsidRPr="00E56E0E">
        <w:rPr>
          <w:rFonts w:ascii="Times New Roman" w:hAnsi="Times New Roman" w:cs="Times New Roman"/>
        </w:rPr>
        <w:t xml:space="preserve">nr. 74, </w:t>
      </w:r>
      <w:proofErr w:type="spellStart"/>
      <w:r w:rsidR="00E56E0E" w:rsidRPr="00E56E0E">
        <w:rPr>
          <w:rFonts w:ascii="Times New Roman" w:hAnsi="Times New Roman" w:cs="Times New Roman"/>
        </w:rPr>
        <w:t>datë</w:t>
      </w:r>
      <w:proofErr w:type="spellEnd"/>
      <w:r w:rsidR="00E56E0E" w:rsidRPr="00E56E0E">
        <w:rPr>
          <w:rFonts w:ascii="Times New Roman" w:hAnsi="Times New Roman" w:cs="Times New Roman"/>
        </w:rPr>
        <w:t xml:space="preserve"> 27.10.2025</w:t>
      </w:r>
      <w:r w:rsidR="00E56E0E" w:rsidRPr="00E56E0E">
        <w:rPr>
          <w:rFonts w:ascii="Times New Roman" w:hAnsi="Times New Roman" w:cs="Times New Roman"/>
          <w:b/>
          <w:bCs/>
        </w:rPr>
        <w:t xml:space="preserve"> 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“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krijimin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Komisionit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Posa</w:t>
      </w:r>
      <w:r w:rsidR="00E56E0E">
        <w:rPr>
          <w:rFonts w:ascii="Times New Roman" w:eastAsia="Times New Roman" w:hAnsi="Times New Roman" w:cs="Times New Roman"/>
          <w:kern w:val="0"/>
          <w14:ligatures w14:val="none"/>
        </w:rPr>
        <w:t>ç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m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realizimin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Reform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E56E0E"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cilat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trajtojnë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nevojën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rritjen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besimit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proceset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partitë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F73A24" w14:textId="77777777" w:rsidR="00E56E0E" w:rsidRDefault="00E56E0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C2751F" w14:textId="77777777" w:rsidR="00C86A6E" w:rsidRDefault="00C86A6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29D2DBF" w14:textId="174DEFFE" w:rsidR="00994A33" w:rsidRPr="00E56E0E" w:rsidRDefault="00994A33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V. </w:t>
      </w:r>
      <w:r w:rsidR="00C86A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C0F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LERËSIMI I SHKALLËS SË PËRAFRIMIT ME </w:t>
      </w:r>
      <w:r w:rsidRPr="00C86A6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ACQUIS COMMUNAUTAIRE</w:t>
      </w:r>
    </w:p>
    <w:p w14:paraId="3E853BEF" w14:textId="77777777" w:rsidR="00E56E0E" w:rsidRDefault="00E56E0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C392FB4" w14:textId="22A4D7E9" w:rsidR="00CB1464" w:rsidRPr="00E56E0E" w:rsidRDefault="00CB1464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synon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përafrimin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 acquis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communautaire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fushën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transparencës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kontrollit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integritetit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financimit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partive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Dispozitat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tij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janë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konceptuar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linjë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standardet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="00E56E0E"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vendeve</w:t>
      </w:r>
      <w:proofErr w:type="spellEnd"/>
      <w:r w:rsidR="00E56E0E"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E56E0E"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bCs/>
          <w:kern w:val="0"/>
          <w14:ligatures w14:val="none"/>
        </w:rPr>
        <w:t>ë</w:t>
      </w:r>
      <w:proofErr w:type="spellEnd"/>
      <w:r w:rsidR="00E56E0E"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Bashkimit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Evropian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që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lidhen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integritetin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elektoral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transparencën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financave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publike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parandalimin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korrupsionit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garantimin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kushteve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barabarta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proceset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2F178AF7" w14:textId="77777777" w:rsidR="00E56E0E" w:rsidRDefault="00E56E0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FBB9B9D" w14:textId="054FF717" w:rsidR="00CB1464" w:rsidRPr="00E56E0E" w:rsidRDefault="00CB1464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Projektakti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merr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konsideratë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praktikat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mira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>nd</w:t>
      </w:r>
      <w:r w:rsidR="003D2531">
        <w:rPr>
          <w:rFonts w:ascii="Times New Roman" w:eastAsia="Times New Roman" w:hAnsi="Times New Roman" w:cs="Times New Roman"/>
          <w:bCs/>
          <w:kern w:val="0"/>
          <w14:ligatures w14:val="none"/>
        </w:rPr>
        <w:t>ë</w:t>
      </w:r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>rkomb</w:t>
      </w:r>
      <w:r w:rsidR="003D2531">
        <w:rPr>
          <w:rFonts w:ascii="Times New Roman" w:eastAsia="Times New Roman" w:hAnsi="Times New Roman" w:cs="Times New Roman"/>
          <w:bCs/>
          <w:kern w:val="0"/>
          <w14:ligatures w14:val="none"/>
        </w:rPr>
        <w:t>ë</w:t>
      </w:r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>tare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rekomandimet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mekanizmave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evropianë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specializuar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cilët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kanë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theksuar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rëndësinë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>transparenc</w:t>
      </w:r>
      <w:r w:rsidR="003D2531">
        <w:rPr>
          <w:rFonts w:ascii="Times New Roman" w:eastAsia="Times New Roman" w:hAnsi="Times New Roman" w:cs="Times New Roman"/>
          <w:bCs/>
          <w:kern w:val="0"/>
          <w14:ligatures w14:val="none"/>
        </w:rPr>
        <w:t>ë</w:t>
      </w:r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proofErr w:type="spellEnd"/>
      <w:r w:rsidR="00CC0F6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kontrollit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efektiv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financimeve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politike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forcimit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mekanizmave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auditimit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mbikëqyrjes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Përmes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këtyre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përafrimeve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projektligji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kontribuon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avancimin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mëtejshëm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procesit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integrimit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evropian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ndërtimin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një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sistemi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politik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transparent,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më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të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besueshëm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dhe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në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përputhje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me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standardet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bashkëkohore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demokratike</w:t>
      </w:r>
      <w:proofErr w:type="spellEnd"/>
      <w:r w:rsidRPr="00E56E0E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5056FFDA" w14:textId="77777777" w:rsidR="00E56E0E" w:rsidRPr="00E56E0E" w:rsidRDefault="00E56E0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898B4A0" w14:textId="77777777" w:rsidR="00C86A6E" w:rsidRDefault="00C86A6E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9F02951" w14:textId="288F32B3" w:rsidR="00F763E9" w:rsidRPr="00E56E0E" w:rsidRDefault="00F763E9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RAPORTI I VLERËSIMIT TË </w:t>
      </w:r>
      <w:proofErr w:type="spellStart"/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ARDHURAVE DHE SHPENZIMEVE BUXHETORE</w:t>
      </w:r>
    </w:p>
    <w:p w14:paraId="6896DE88" w14:textId="77777777" w:rsidR="00E56E0E" w:rsidRDefault="00E56E0E" w:rsidP="00E56E0E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14:paraId="1A1B7560" w14:textId="4533A03B" w:rsidR="00243077" w:rsidRPr="00E56E0E" w:rsidRDefault="00243077" w:rsidP="00E56E0E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proofErr w:type="spellStart"/>
      <w:r w:rsidRPr="00E56E0E">
        <w:rPr>
          <w:rFonts w:ascii="Times New Roman" w:hAnsi="Times New Roman" w:cs="Times New Roman"/>
        </w:rPr>
        <w:t>Projektligji</w:t>
      </w:r>
      <w:proofErr w:type="spellEnd"/>
      <w:r w:rsidRPr="00E56E0E">
        <w:rPr>
          <w:rFonts w:ascii="Times New Roman" w:hAnsi="Times New Roman" w:cs="Times New Roman"/>
        </w:rPr>
        <w:t xml:space="preserve"> “</w:t>
      </w:r>
      <w:proofErr w:type="spellStart"/>
      <w:r w:rsidRPr="00E56E0E">
        <w:rPr>
          <w:rFonts w:ascii="Times New Roman" w:hAnsi="Times New Roman" w:cs="Times New Roman"/>
        </w:rPr>
        <w:t>Për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financimin</w:t>
      </w:r>
      <w:proofErr w:type="spellEnd"/>
      <w:r w:rsidRPr="00E56E0E">
        <w:rPr>
          <w:rFonts w:ascii="Times New Roman" w:hAnsi="Times New Roman" w:cs="Times New Roman"/>
        </w:rPr>
        <w:t xml:space="preserve"> e </w:t>
      </w:r>
      <w:proofErr w:type="spellStart"/>
      <w:r w:rsidRPr="00E56E0E">
        <w:rPr>
          <w:rFonts w:ascii="Times New Roman" w:hAnsi="Times New Roman" w:cs="Times New Roman"/>
        </w:rPr>
        <w:t>partive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politike</w:t>
      </w:r>
      <w:proofErr w:type="spellEnd"/>
      <w:r w:rsidRPr="00E56E0E">
        <w:rPr>
          <w:rFonts w:ascii="Times New Roman" w:hAnsi="Times New Roman" w:cs="Times New Roman"/>
        </w:rPr>
        <w:t xml:space="preserve">” </w:t>
      </w:r>
      <w:proofErr w:type="spellStart"/>
      <w:r w:rsidRPr="00E56E0E">
        <w:rPr>
          <w:rFonts w:ascii="Times New Roman" w:hAnsi="Times New Roman" w:cs="Times New Roman"/>
        </w:rPr>
        <w:t>krijon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një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sërë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detyrimesh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reja</w:t>
      </w:r>
      <w:proofErr w:type="spellEnd"/>
      <w:r w:rsidRPr="00E56E0E">
        <w:rPr>
          <w:rFonts w:ascii="Times New Roman" w:hAnsi="Times New Roman" w:cs="Times New Roman"/>
        </w:rPr>
        <w:t xml:space="preserve"> administrative, </w:t>
      </w:r>
      <w:proofErr w:type="spellStart"/>
      <w:r w:rsidRPr="00E56E0E">
        <w:rPr>
          <w:rFonts w:ascii="Times New Roman" w:hAnsi="Times New Roman" w:cs="Times New Roman"/>
        </w:rPr>
        <w:t>teknologjike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dhe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financiare</w:t>
      </w:r>
      <w:proofErr w:type="spellEnd"/>
      <w:r w:rsidRPr="00E56E0E">
        <w:rPr>
          <w:rFonts w:ascii="Times New Roman" w:hAnsi="Times New Roman" w:cs="Times New Roman"/>
        </w:rPr>
        <w:t xml:space="preserve">, </w:t>
      </w:r>
      <w:proofErr w:type="spellStart"/>
      <w:r w:rsidRPr="00E56E0E">
        <w:rPr>
          <w:rFonts w:ascii="Times New Roman" w:hAnsi="Times New Roman" w:cs="Times New Roman"/>
        </w:rPr>
        <w:t>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cilat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sjellin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ndikim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drejtpërdrejtë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dhe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tërthortë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në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buxhetin</w:t>
      </w:r>
      <w:proofErr w:type="spellEnd"/>
      <w:r w:rsidRPr="00E56E0E">
        <w:rPr>
          <w:rFonts w:ascii="Times New Roman" w:hAnsi="Times New Roman" w:cs="Times New Roman"/>
        </w:rPr>
        <w:t xml:space="preserve"> e </w:t>
      </w:r>
      <w:proofErr w:type="spellStart"/>
      <w:r w:rsidRPr="00E56E0E">
        <w:rPr>
          <w:rFonts w:ascii="Times New Roman" w:hAnsi="Times New Roman" w:cs="Times New Roman"/>
        </w:rPr>
        <w:t>shtetit</w:t>
      </w:r>
      <w:proofErr w:type="spellEnd"/>
      <w:r w:rsidRPr="00E56E0E">
        <w:rPr>
          <w:rFonts w:ascii="Times New Roman" w:hAnsi="Times New Roman" w:cs="Times New Roman"/>
        </w:rPr>
        <w:t xml:space="preserve">. Ky </w:t>
      </w:r>
      <w:proofErr w:type="spellStart"/>
      <w:r w:rsidRPr="00E56E0E">
        <w:rPr>
          <w:rFonts w:ascii="Times New Roman" w:hAnsi="Times New Roman" w:cs="Times New Roman"/>
        </w:rPr>
        <w:t>ndikim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lidhet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kryesisht</w:t>
      </w:r>
      <w:proofErr w:type="spellEnd"/>
      <w:r w:rsidRPr="00E56E0E">
        <w:rPr>
          <w:rFonts w:ascii="Times New Roman" w:hAnsi="Times New Roman" w:cs="Times New Roman"/>
        </w:rPr>
        <w:t xml:space="preserve"> me </w:t>
      </w:r>
      <w:proofErr w:type="spellStart"/>
      <w:r w:rsidRPr="00E56E0E">
        <w:rPr>
          <w:rFonts w:ascii="Times New Roman" w:hAnsi="Times New Roman" w:cs="Times New Roman"/>
        </w:rPr>
        <w:t>forcimin</w:t>
      </w:r>
      <w:proofErr w:type="spellEnd"/>
      <w:r w:rsidRPr="00E56E0E">
        <w:rPr>
          <w:rFonts w:ascii="Times New Roman" w:hAnsi="Times New Roman" w:cs="Times New Roman"/>
        </w:rPr>
        <w:t xml:space="preserve"> e </w:t>
      </w:r>
      <w:proofErr w:type="spellStart"/>
      <w:r w:rsidRPr="00E56E0E">
        <w:rPr>
          <w:rFonts w:ascii="Times New Roman" w:hAnsi="Times New Roman" w:cs="Times New Roman"/>
        </w:rPr>
        <w:t>mekanizmave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transparencës</w:t>
      </w:r>
      <w:proofErr w:type="spellEnd"/>
      <w:r w:rsidRPr="00E56E0E">
        <w:rPr>
          <w:rFonts w:ascii="Times New Roman" w:hAnsi="Times New Roman" w:cs="Times New Roman"/>
        </w:rPr>
        <w:t xml:space="preserve">, </w:t>
      </w:r>
      <w:proofErr w:type="spellStart"/>
      <w:r w:rsidRPr="00E56E0E">
        <w:rPr>
          <w:rFonts w:ascii="Times New Roman" w:hAnsi="Times New Roman" w:cs="Times New Roman"/>
        </w:rPr>
        <w:t>auditimit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dhe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mbikëqyrjes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së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financimeve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politike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nga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Komisioni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Qendror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i</w:t>
      </w:r>
      <w:proofErr w:type="spellEnd"/>
      <w:r w:rsidRPr="00E56E0E">
        <w:rPr>
          <w:rFonts w:ascii="Times New Roman" w:hAnsi="Times New Roman" w:cs="Times New Roman"/>
        </w:rPr>
        <w:t xml:space="preserve"> </w:t>
      </w:r>
      <w:proofErr w:type="spellStart"/>
      <w:r w:rsidRPr="00E56E0E">
        <w:rPr>
          <w:rFonts w:ascii="Times New Roman" w:hAnsi="Times New Roman" w:cs="Times New Roman"/>
        </w:rPr>
        <w:t>Zgjedhjeve</w:t>
      </w:r>
      <w:proofErr w:type="spellEnd"/>
      <w:r w:rsidRPr="00E56E0E">
        <w:rPr>
          <w:rFonts w:ascii="Times New Roman" w:hAnsi="Times New Roman" w:cs="Times New Roman"/>
        </w:rPr>
        <w:t xml:space="preserve"> (KQZ).</w:t>
      </w:r>
    </w:p>
    <w:p w14:paraId="1BB1F2A9" w14:textId="77777777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B8F7B" w14:textId="6A0BEEAC" w:rsidR="00E56E0E" w:rsidRDefault="00E56E0E" w:rsidP="00E56E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konkretisht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C4B6138" w14:textId="77777777" w:rsidR="009E00E0" w:rsidRDefault="009E00E0" w:rsidP="009E00E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39DC14" w14:textId="5AB91265" w:rsidR="009E00E0" w:rsidRDefault="009E00E0" w:rsidP="009E0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E00E0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vitin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2027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parashikohet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krijimi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granti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5%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fondit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q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Buxheti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Shtetit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alokon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partit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vit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kalendarik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vitin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2026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fond </w:t>
      </w:r>
      <w:proofErr w:type="spellStart"/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sht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345,6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milion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lek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reja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masa 5% </w:t>
      </w:r>
      <w:proofErr w:type="spellStart"/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sht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17 280 000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lek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782B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parashikohet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shtes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buxhetin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viti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2027.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Ky Grant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shpërndahet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politike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përfitojnë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ancim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bazë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realizimit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aktiviteteve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veprimtarisë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nxitjen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barazisë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gjinore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rinjve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politikë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Kriteret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vlerësimit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aktiviteteve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veprimtarive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sipas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kësaj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pike,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metodologjia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mënyra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caktimit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shpërndarjes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grantit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përcaktohet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vendim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KQZ-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6FC63263" w14:textId="3DB9A8F9" w:rsidR="009E00E0" w:rsidRDefault="009E00E0" w:rsidP="009E0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23963A" w14:textId="317C3134" w:rsidR="009E00E0" w:rsidRDefault="009E00E0" w:rsidP="009E0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E00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Shpenzimet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auditimit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ancat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vjetore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lloj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sic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parashikohet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Kodin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Zgjedhor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fushat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zgjedhore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rballohet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plotësisht</w:t>
      </w:r>
      <w:proofErr w:type="spellEnd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Buxheti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Shtetit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rmjet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KQZ-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Mesatarisht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eksperienca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deritanishme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rocesi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uditimit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parti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politike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jasht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viti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zgjedhor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82B32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vler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inanciar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rgjit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vjetor</w:t>
      </w:r>
      <w:proofErr w:type="spellEnd"/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82B32">
        <w:rPr>
          <w:rFonts w:ascii="Times New Roman" w:eastAsia="Times New Roman" w:hAnsi="Times New Roman" w:cs="Times New Roman"/>
          <w:color w:val="000000"/>
          <w:kern w:val="0"/>
          <w:highlight w:val="yellow"/>
          <w14:ligatures w14:val="none"/>
        </w:rPr>
        <w:t>----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lek</w:t>
      </w:r>
      <w:r w:rsid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364E816C" w14:textId="77777777" w:rsidR="00782B32" w:rsidRDefault="00782B32" w:rsidP="00782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06A44A" w14:textId="08E1D583" w:rsidR="00782B32" w:rsidRPr="00782B32" w:rsidRDefault="00782B32" w:rsidP="00782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2B3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Projektligji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parashikon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krijimin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sistemeve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elektronike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akses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KQZ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database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shtetërore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institucioneve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momentin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është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pamundur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parashikohet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kosto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paraprake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realizmit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këtij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detyrimi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ligjor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sepse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kjo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ndodhe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rast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rasti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specifik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KQZ-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njëkohësiht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jetë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detyrë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reslizohet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shtrirë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kohë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natyrën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vecantë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kërkon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përmbushja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saj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DBCE028" w14:textId="77777777" w:rsidR="009E00E0" w:rsidRPr="00782B32" w:rsidRDefault="009E00E0" w:rsidP="009E00E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14:paraId="09599F35" w14:textId="77777777" w:rsidR="00CC0F60" w:rsidRDefault="00CC0F60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D8B09B" w14:textId="6AE90B0B" w:rsidR="00F763E9" w:rsidRPr="00E56E0E" w:rsidRDefault="00F763E9" w:rsidP="00E56E0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994A33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</w:t>
      </w:r>
      <w:r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E56E0E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61432" w:rsidRPr="00E56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PERSONAT DHE INSTITUCIONET QË KANË KONTRIBUAR NË HARTIMIN E PROJEKTAKTIT</w:t>
      </w:r>
    </w:p>
    <w:p w14:paraId="65898F96" w14:textId="77777777" w:rsidR="00782B32" w:rsidRDefault="00782B32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</w:p>
    <w:p w14:paraId="50AD2D51" w14:textId="0A84EDCF" w:rsidR="00C86A6E" w:rsidRPr="00C86A6E" w:rsidRDefault="00C86A6E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Q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ndror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Zgjedhjeve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shkres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nr. 7236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prot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dat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27.11.2025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drejtuar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Komisionit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Posac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m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Realizimin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eform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shkres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cil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paraqiten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vler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simet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nevojat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rmir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sim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baz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fuqi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financimin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vjetor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Vler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simet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rekoma</w:t>
      </w:r>
      <w:r w:rsidR="00711F4A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dimet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paraqitura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jan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reflektuar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plot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C86A6E">
        <w:rPr>
          <w:rFonts w:ascii="Times New Roman" w:eastAsia="Times New Roman" w:hAnsi="Times New Roman" w:cs="Times New Roman"/>
          <w:kern w:val="0"/>
          <w14:ligatures w14:val="none"/>
        </w:rPr>
        <w:t>sisht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tekstin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 w:rsidRPr="00C86A6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09A4B7" w14:textId="796D952D" w:rsidR="00F763E9" w:rsidRDefault="00F763E9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3CB189" w14:textId="1E0F418F" w:rsidR="00CC0F60" w:rsidRPr="00E56E0E" w:rsidRDefault="00CC0F60" w:rsidP="00E56E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Posa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çë</w:t>
      </w: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14:ligatures w14:val="none"/>
        </w:rPr>
        <w:t>arlamentar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D25DC6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Reform</w:t>
      </w:r>
      <w:r w:rsidR="00D25DC6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Zgjedhore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bashk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punim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Prezenc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OSBE-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Shqip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organizoi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dat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 mars 2026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nj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tryez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rrumb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llak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lidhje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arkitektur</w:t>
      </w:r>
      <w:r w:rsidR="00D25DC6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projektligjit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fi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ancimin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partive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tryez</w:t>
      </w:r>
      <w:r w:rsidR="00D25DC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mor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pjes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tar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14:ligatures w14:val="none"/>
        </w:rPr>
        <w:t>omisionit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rfaq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sues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>rtive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D25DC6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ndryshme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politike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OJF-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vendase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huaja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kontrib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14:ligatures w14:val="none"/>
        </w:rPr>
        <w:t>tet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="003D25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D2531">
        <w:rPr>
          <w:rFonts w:ascii="Times New Roman" w:eastAsia="Times New Roman" w:hAnsi="Times New Roman" w:cs="Times New Roman"/>
          <w:kern w:val="0"/>
          <w14:ligatures w14:val="none"/>
        </w:rPr>
        <w:t>propozimet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cil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ve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jan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marr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parasysh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jan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refl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>ktuar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3D2531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projektligj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01A8C4" w14:textId="77777777" w:rsidR="001474BE" w:rsidRPr="00E56E0E" w:rsidRDefault="001474BE" w:rsidP="00E56E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474BE" w:rsidRPr="00E56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3410" w14:textId="77777777" w:rsidR="00850194" w:rsidRDefault="00850194" w:rsidP="005C2929">
      <w:pPr>
        <w:spacing w:after="0" w:line="240" w:lineRule="auto"/>
      </w:pPr>
      <w:r>
        <w:separator/>
      </w:r>
    </w:p>
  </w:endnote>
  <w:endnote w:type="continuationSeparator" w:id="0">
    <w:p w14:paraId="22E848EF" w14:textId="77777777" w:rsidR="00850194" w:rsidRDefault="00850194" w:rsidP="005C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31837835"/>
      <w:docPartObj>
        <w:docPartGallery w:val="Page Numbers (Bottom of Page)"/>
        <w:docPartUnique/>
      </w:docPartObj>
    </w:sdtPr>
    <w:sdtContent>
      <w:p w14:paraId="66B6364A" w14:textId="76A83285" w:rsidR="005C2929" w:rsidRDefault="005C2929" w:rsidP="00AE0B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02CE6E" w14:textId="77777777" w:rsidR="005C2929" w:rsidRDefault="005C2929" w:rsidP="005C29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16"/>
        <w:szCs w:val="16"/>
      </w:rPr>
      <w:id w:val="1472172776"/>
      <w:docPartObj>
        <w:docPartGallery w:val="Page Numbers (Bottom of Page)"/>
        <w:docPartUnique/>
      </w:docPartObj>
    </w:sdtPr>
    <w:sdtContent>
      <w:p w14:paraId="5065C107" w14:textId="19495395" w:rsidR="005C2929" w:rsidRPr="003B46BF" w:rsidRDefault="005C2929" w:rsidP="00AE0BA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3B46BF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3B46BF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3B46BF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3B46BF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8</w:t>
        </w:r>
        <w:r w:rsidRPr="003B46BF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A0AEFC" w14:textId="77777777" w:rsidR="005C2929" w:rsidRDefault="005C2929" w:rsidP="005C29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6E97" w14:textId="77777777" w:rsidR="005C2929" w:rsidRDefault="005C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C610" w14:textId="77777777" w:rsidR="00850194" w:rsidRDefault="00850194" w:rsidP="005C2929">
      <w:pPr>
        <w:spacing w:after="0" w:line="240" w:lineRule="auto"/>
      </w:pPr>
      <w:r>
        <w:separator/>
      </w:r>
    </w:p>
  </w:footnote>
  <w:footnote w:type="continuationSeparator" w:id="0">
    <w:p w14:paraId="797A1983" w14:textId="77777777" w:rsidR="00850194" w:rsidRDefault="00850194" w:rsidP="005C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2B7C" w14:textId="77777777" w:rsidR="005C2929" w:rsidRDefault="005C2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44B" w14:textId="77777777" w:rsidR="005C2929" w:rsidRDefault="005C2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654A" w14:textId="77777777" w:rsidR="005C2929" w:rsidRDefault="005C2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85E"/>
    <w:multiLevelType w:val="multilevel"/>
    <w:tmpl w:val="53D2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6B6D"/>
    <w:multiLevelType w:val="multilevel"/>
    <w:tmpl w:val="0C3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0A0B"/>
    <w:multiLevelType w:val="multilevel"/>
    <w:tmpl w:val="DB68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828FA"/>
    <w:multiLevelType w:val="multilevel"/>
    <w:tmpl w:val="640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4076B"/>
    <w:multiLevelType w:val="multilevel"/>
    <w:tmpl w:val="9240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706CB"/>
    <w:multiLevelType w:val="multilevel"/>
    <w:tmpl w:val="70D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E0132"/>
    <w:multiLevelType w:val="multilevel"/>
    <w:tmpl w:val="19EC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511E7"/>
    <w:multiLevelType w:val="hybridMultilevel"/>
    <w:tmpl w:val="DB80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F0E13"/>
    <w:multiLevelType w:val="multilevel"/>
    <w:tmpl w:val="630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73067"/>
    <w:multiLevelType w:val="hybridMultilevel"/>
    <w:tmpl w:val="A2E0D6A8"/>
    <w:lvl w:ilvl="0" w:tplc="B14063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B030C"/>
    <w:multiLevelType w:val="multilevel"/>
    <w:tmpl w:val="0A9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3038D"/>
    <w:multiLevelType w:val="multilevel"/>
    <w:tmpl w:val="D8C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03ABA"/>
    <w:multiLevelType w:val="multilevel"/>
    <w:tmpl w:val="43B6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6511F"/>
    <w:multiLevelType w:val="multilevel"/>
    <w:tmpl w:val="CEEE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2132B"/>
    <w:multiLevelType w:val="multilevel"/>
    <w:tmpl w:val="FB4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32D2B"/>
    <w:multiLevelType w:val="multilevel"/>
    <w:tmpl w:val="EF5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30FC5"/>
    <w:multiLevelType w:val="multilevel"/>
    <w:tmpl w:val="3AC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640832"/>
    <w:multiLevelType w:val="multilevel"/>
    <w:tmpl w:val="1AC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26127"/>
    <w:multiLevelType w:val="multilevel"/>
    <w:tmpl w:val="B98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B0624"/>
    <w:multiLevelType w:val="multilevel"/>
    <w:tmpl w:val="973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F6AC5"/>
    <w:multiLevelType w:val="multilevel"/>
    <w:tmpl w:val="C87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32037"/>
    <w:multiLevelType w:val="multilevel"/>
    <w:tmpl w:val="4DB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649B1"/>
    <w:multiLevelType w:val="multilevel"/>
    <w:tmpl w:val="B76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03A5B"/>
    <w:multiLevelType w:val="multilevel"/>
    <w:tmpl w:val="F482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5C4FA5"/>
    <w:multiLevelType w:val="multilevel"/>
    <w:tmpl w:val="7C4E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1D1949"/>
    <w:multiLevelType w:val="multilevel"/>
    <w:tmpl w:val="5E8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C46F5"/>
    <w:multiLevelType w:val="multilevel"/>
    <w:tmpl w:val="F524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F42DC"/>
    <w:multiLevelType w:val="multilevel"/>
    <w:tmpl w:val="798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056FE4"/>
    <w:multiLevelType w:val="multilevel"/>
    <w:tmpl w:val="959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432BD"/>
    <w:multiLevelType w:val="multilevel"/>
    <w:tmpl w:val="668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504E8"/>
    <w:multiLevelType w:val="multilevel"/>
    <w:tmpl w:val="E4CC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7271B"/>
    <w:multiLevelType w:val="multilevel"/>
    <w:tmpl w:val="E800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10FCC"/>
    <w:multiLevelType w:val="multilevel"/>
    <w:tmpl w:val="71E2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84181"/>
    <w:multiLevelType w:val="multilevel"/>
    <w:tmpl w:val="7CCC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4528D"/>
    <w:multiLevelType w:val="multilevel"/>
    <w:tmpl w:val="4784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36570F"/>
    <w:multiLevelType w:val="multilevel"/>
    <w:tmpl w:val="66D4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F570AF"/>
    <w:multiLevelType w:val="multilevel"/>
    <w:tmpl w:val="5C7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64FCE"/>
    <w:multiLevelType w:val="multilevel"/>
    <w:tmpl w:val="AA2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56594"/>
    <w:multiLevelType w:val="multilevel"/>
    <w:tmpl w:val="56D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341738">
    <w:abstractNumId w:val="14"/>
  </w:num>
  <w:num w:numId="2" w16cid:durableId="2064130843">
    <w:abstractNumId w:val="26"/>
  </w:num>
  <w:num w:numId="3" w16cid:durableId="856120357">
    <w:abstractNumId w:val="33"/>
  </w:num>
  <w:num w:numId="4" w16cid:durableId="1734544057">
    <w:abstractNumId w:val="10"/>
  </w:num>
  <w:num w:numId="5" w16cid:durableId="769811259">
    <w:abstractNumId w:val="1"/>
  </w:num>
  <w:num w:numId="6" w16cid:durableId="891884831">
    <w:abstractNumId w:val="20"/>
  </w:num>
  <w:num w:numId="7" w16cid:durableId="580725145">
    <w:abstractNumId w:val="23"/>
  </w:num>
  <w:num w:numId="8" w16cid:durableId="622544748">
    <w:abstractNumId w:val="18"/>
  </w:num>
  <w:num w:numId="9" w16cid:durableId="725222543">
    <w:abstractNumId w:val="32"/>
  </w:num>
  <w:num w:numId="10" w16cid:durableId="1396202222">
    <w:abstractNumId w:val="17"/>
  </w:num>
  <w:num w:numId="11" w16cid:durableId="927076750">
    <w:abstractNumId w:val="31"/>
  </w:num>
  <w:num w:numId="12" w16cid:durableId="256062864">
    <w:abstractNumId w:val="21"/>
  </w:num>
  <w:num w:numId="13" w16cid:durableId="1140342655">
    <w:abstractNumId w:val="19"/>
  </w:num>
  <w:num w:numId="14" w16cid:durableId="1771658251">
    <w:abstractNumId w:val="24"/>
  </w:num>
  <w:num w:numId="15" w16cid:durableId="1557862116">
    <w:abstractNumId w:val="3"/>
  </w:num>
  <w:num w:numId="16" w16cid:durableId="194541187">
    <w:abstractNumId w:val="22"/>
  </w:num>
  <w:num w:numId="17" w16cid:durableId="51199583">
    <w:abstractNumId w:val="7"/>
  </w:num>
  <w:num w:numId="18" w16cid:durableId="1795444342">
    <w:abstractNumId w:val="4"/>
  </w:num>
  <w:num w:numId="19" w16cid:durableId="1436903687">
    <w:abstractNumId w:val="29"/>
  </w:num>
  <w:num w:numId="20" w16cid:durableId="1141078769">
    <w:abstractNumId w:val="0"/>
  </w:num>
  <w:num w:numId="21" w16cid:durableId="1914662402">
    <w:abstractNumId w:val="35"/>
  </w:num>
  <w:num w:numId="22" w16cid:durableId="367340662">
    <w:abstractNumId w:val="38"/>
  </w:num>
  <w:num w:numId="23" w16cid:durableId="875847996">
    <w:abstractNumId w:val="28"/>
  </w:num>
  <w:num w:numId="24" w16cid:durableId="2019305996">
    <w:abstractNumId w:val="12"/>
  </w:num>
  <w:num w:numId="25" w16cid:durableId="1400206272">
    <w:abstractNumId w:val="5"/>
  </w:num>
  <w:num w:numId="26" w16cid:durableId="1785227307">
    <w:abstractNumId w:val="27"/>
  </w:num>
  <w:num w:numId="27" w16cid:durableId="1996761603">
    <w:abstractNumId w:val="16"/>
  </w:num>
  <w:num w:numId="28" w16cid:durableId="559095613">
    <w:abstractNumId w:val="2"/>
  </w:num>
  <w:num w:numId="29" w16cid:durableId="2052072830">
    <w:abstractNumId w:val="6"/>
  </w:num>
  <w:num w:numId="30" w16cid:durableId="467167202">
    <w:abstractNumId w:val="34"/>
  </w:num>
  <w:num w:numId="31" w16cid:durableId="1086877739">
    <w:abstractNumId w:val="11"/>
  </w:num>
  <w:num w:numId="32" w16cid:durableId="1250237135">
    <w:abstractNumId w:val="8"/>
  </w:num>
  <w:num w:numId="33" w16cid:durableId="782267006">
    <w:abstractNumId w:val="13"/>
  </w:num>
  <w:num w:numId="34" w16cid:durableId="1371758402">
    <w:abstractNumId w:val="36"/>
  </w:num>
  <w:num w:numId="35" w16cid:durableId="1789199892">
    <w:abstractNumId w:val="15"/>
  </w:num>
  <w:num w:numId="36" w16cid:durableId="549926974">
    <w:abstractNumId w:val="30"/>
  </w:num>
  <w:num w:numId="37" w16cid:durableId="1452363864">
    <w:abstractNumId w:val="25"/>
  </w:num>
  <w:num w:numId="38" w16cid:durableId="579995183">
    <w:abstractNumId w:val="37"/>
  </w:num>
  <w:num w:numId="39" w16cid:durableId="405029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E9"/>
    <w:rsid w:val="00010D88"/>
    <w:rsid w:val="00045A1A"/>
    <w:rsid w:val="00083D2F"/>
    <w:rsid w:val="00093C78"/>
    <w:rsid w:val="000B4FC3"/>
    <w:rsid w:val="000D2909"/>
    <w:rsid w:val="00143312"/>
    <w:rsid w:val="001474BE"/>
    <w:rsid w:val="001926BC"/>
    <w:rsid w:val="00193A4D"/>
    <w:rsid w:val="001E7EF6"/>
    <w:rsid w:val="00221836"/>
    <w:rsid w:val="00243077"/>
    <w:rsid w:val="00255096"/>
    <w:rsid w:val="002D6256"/>
    <w:rsid w:val="0032760E"/>
    <w:rsid w:val="003533CD"/>
    <w:rsid w:val="003763D2"/>
    <w:rsid w:val="003874A5"/>
    <w:rsid w:val="003B0F4E"/>
    <w:rsid w:val="003B46BF"/>
    <w:rsid w:val="003C4BAC"/>
    <w:rsid w:val="003C7985"/>
    <w:rsid w:val="003D2531"/>
    <w:rsid w:val="003E695C"/>
    <w:rsid w:val="003F7ABB"/>
    <w:rsid w:val="00436A54"/>
    <w:rsid w:val="00477247"/>
    <w:rsid w:val="004A1C8A"/>
    <w:rsid w:val="0051383C"/>
    <w:rsid w:val="005C2929"/>
    <w:rsid w:val="006517E0"/>
    <w:rsid w:val="00677275"/>
    <w:rsid w:val="006A0459"/>
    <w:rsid w:val="007063B3"/>
    <w:rsid w:val="00711F4A"/>
    <w:rsid w:val="00760BF2"/>
    <w:rsid w:val="0076740F"/>
    <w:rsid w:val="00782B32"/>
    <w:rsid w:val="007A67F8"/>
    <w:rsid w:val="007F1966"/>
    <w:rsid w:val="00850194"/>
    <w:rsid w:val="009461A3"/>
    <w:rsid w:val="009832F4"/>
    <w:rsid w:val="00994A33"/>
    <w:rsid w:val="009D2BBB"/>
    <w:rsid w:val="009E00E0"/>
    <w:rsid w:val="00A91B76"/>
    <w:rsid w:val="00B23170"/>
    <w:rsid w:val="00B52E0D"/>
    <w:rsid w:val="00B54171"/>
    <w:rsid w:val="00B61FD9"/>
    <w:rsid w:val="00B96123"/>
    <w:rsid w:val="00C14409"/>
    <w:rsid w:val="00C61432"/>
    <w:rsid w:val="00C644B2"/>
    <w:rsid w:val="00C6462F"/>
    <w:rsid w:val="00C86A6E"/>
    <w:rsid w:val="00CA13E8"/>
    <w:rsid w:val="00CA60FC"/>
    <w:rsid w:val="00CB1464"/>
    <w:rsid w:val="00CC0F60"/>
    <w:rsid w:val="00D25DC6"/>
    <w:rsid w:val="00E2540D"/>
    <w:rsid w:val="00E41D36"/>
    <w:rsid w:val="00E5587B"/>
    <w:rsid w:val="00E56E0E"/>
    <w:rsid w:val="00E97167"/>
    <w:rsid w:val="00F40BFD"/>
    <w:rsid w:val="00F628F0"/>
    <w:rsid w:val="00F763E9"/>
    <w:rsid w:val="00F819DF"/>
    <w:rsid w:val="00F83505"/>
    <w:rsid w:val="00FB6AF2"/>
    <w:rsid w:val="00FE0468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7117"/>
  <w15:chartTrackingRefBased/>
  <w15:docId w15:val="{DC54BDE2-049B-4AE4-9474-DDD61AA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91B7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A60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FC"/>
    <w:rPr>
      <w:color w:val="605E5C"/>
      <w:shd w:val="clear" w:color="auto" w:fill="E1DFDD"/>
    </w:rPr>
  </w:style>
  <w:style w:type="paragraph" w:customStyle="1" w:styleId="p1">
    <w:name w:val="p1"/>
    <w:basedOn w:val="Normal"/>
    <w:rsid w:val="00FE046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apple-converted-space">
    <w:name w:val="apple-converted-space"/>
    <w:basedOn w:val="DefaultParagraphFont"/>
    <w:rsid w:val="00FE0468"/>
  </w:style>
  <w:style w:type="paragraph" w:styleId="Footer">
    <w:name w:val="footer"/>
    <w:basedOn w:val="Normal"/>
    <w:link w:val="FooterChar"/>
    <w:uiPriority w:val="99"/>
    <w:unhideWhenUsed/>
    <w:rsid w:val="005C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929"/>
  </w:style>
  <w:style w:type="character" w:styleId="PageNumber">
    <w:name w:val="page number"/>
    <w:basedOn w:val="DefaultParagraphFont"/>
    <w:uiPriority w:val="99"/>
    <w:semiHidden/>
    <w:unhideWhenUsed/>
    <w:rsid w:val="005C2929"/>
  </w:style>
  <w:style w:type="paragraph" w:styleId="Header">
    <w:name w:val="header"/>
    <w:basedOn w:val="Normal"/>
    <w:link w:val="HeaderChar"/>
    <w:uiPriority w:val="99"/>
    <w:unhideWhenUsed/>
    <w:rsid w:val="005C2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6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6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4500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Xhina</dc:creator>
  <cp:keywords/>
  <dc:description/>
  <cp:lastModifiedBy>Vijola Sinaj</cp:lastModifiedBy>
  <cp:revision>2</cp:revision>
  <dcterms:created xsi:type="dcterms:W3CDTF">2026-03-30T08:26:00Z</dcterms:created>
  <dcterms:modified xsi:type="dcterms:W3CDTF">2026-03-30T08:26:00Z</dcterms:modified>
</cp:coreProperties>
</file>